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B2B" w:rsidRPr="00E55800" w:rsidRDefault="00384B2B" w:rsidP="004B0AE6">
      <w:pPr>
        <w:jc w:val="center"/>
        <w:rPr>
          <w:rFonts w:ascii="Arial" w:hAnsi="Arial" w:cs="Arial"/>
          <w:i/>
          <w:sz w:val="22"/>
          <w:szCs w:val="20"/>
          <w:lang w:val="nl-BE"/>
        </w:rPr>
      </w:pPr>
    </w:p>
    <w:p w:rsidR="008A7E40" w:rsidRPr="009A6E40" w:rsidRDefault="00E1690C" w:rsidP="004B0AE6">
      <w:pPr>
        <w:jc w:val="center"/>
        <w:rPr>
          <w:rFonts w:ascii="Arial" w:hAnsi="Arial" w:cs="Arial"/>
          <w:b/>
          <w:i/>
          <w:color w:val="4472C4" w:themeColor="accent1"/>
          <w:lang w:val="nl-BE"/>
        </w:rPr>
      </w:pPr>
      <w:r w:rsidRPr="009A6E40">
        <w:rPr>
          <w:rFonts w:ascii="Arial" w:hAnsi="Arial" w:cs="Arial"/>
          <w:b/>
          <w:i/>
          <w:color w:val="4472C4" w:themeColor="accent1"/>
          <w:sz w:val="22"/>
          <w:szCs w:val="20"/>
          <w:lang w:val="nl-BE"/>
        </w:rPr>
        <w:t>PERSBERICHT</w:t>
      </w:r>
      <w:r w:rsidR="005D1795" w:rsidRPr="009A6E40">
        <w:rPr>
          <w:rFonts w:ascii="Arial" w:hAnsi="Arial" w:cs="Arial"/>
          <w:b/>
          <w:i/>
          <w:color w:val="4472C4" w:themeColor="accent1"/>
          <w:sz w:val="22"/>
          <w:szCs w:val="20"/>
          <w:lang w:val="nl-BE"/>
        </w:rPr>
        <w:t xml:space="preserve"> </w:t>
      </w:r>
      <w:r w:rsidR="004228ED" w:rsidRPr="009A6E40">
        <w:rPr>
          <w:rFonts w:ascii="Arial" w:hAnsi="Arial" w:cs="Arial"/>
          <w:b/>
          <w:i/>
          <w:color w:val="4472C4" w:themeColor="accent1"/>
          <w:sz w:val="22"/>
          <w:szCs w:val="20"/>
          <w:lang w:val="nl-BE"/>
        </w:rPr>
        <w:t>3</w:t>
      </w:r>
      <w:r w:rsidR="00E74E43" w:rsidRPr="009A6E40">
        <w:rPr>
          <w:rFonts w:ascii="Arial" w:hAnsi="Arial" w:cs="Arial"/>
          <w:b/>
          <w:i/>
          <w:color w:val="4472C4" w:themeColor="accent1"/>
          <w:sz w:val="22"/>
          <w:szCs w:val="20"/>
          <w:lang w:val="nl-BE"/>
        </w:rPr>
        <w:t>/05/201</w:t>
      </w:r>
      <w:r w:rsidR="00847311" w:rsidRPr="009A6E40">
        <w:rPr>
          <w:rFonts w:ascii="Arial" w:hAnsi="Arial" w:cs="Arial"/>
          <w:b/>
          <w:i/>
          <w:color w:val="4472C4" w:themeColor="accent1"/>
          <w:sz w:val="22"/>
          <w:szCs w:val="20"/>
          <w:lang w:val="nl-BE"/>
        </w:rPr>
        <w:t>8</w:t>
      </w:r>
    </w:p>
    <w:p w:rsidR="003D1225" w:rsidRDefault="003D1225" w:rsidP="00D50838">
      <w:pPr>
        <w:jc w:val="center"/>
        <w:rPr>
          <w:rFonts w:ascii="Arial" w:hAnsi="Arial" w:cs="Arial"/>
          <w:b/>
          <w:sz w:val="20"/>
          <w:szCs w:val="20"/>
          <w:lang w:val="nl-BE"/>
        </w:rPr>
      </w:pPr>
    </w:p>
    <w:p w:rsidR="00CC640B" w:rsidRPr="00E55800" w:rsidRDefault="00847311" w:rsidP="00E74E43">
      <w:pPr>
        <w:jc w:val="center"/>
        <w:outlineLvl w:val="0"/>
        <w:rPr>
          <w:rFonts w:ascii="Verdana" w:hAnsi="Verdana"/>
          <w:b/>
          <w:color w:val="2F5496" w:themeColor="accent1" w:themeShade="BF"/>
          <w:sz w:val="28"/>
          <w:lang w:val="nl-BE"/>
        </w:rPr>
      </w:pPr>
      <w:r>
        <w:rPr>
          <w:rFonts w:ascii="Verdana" w:hAnsi="Verdana"/>
          <w:b/>
          <w:color w:val="2F5496" w:themeColor="accent1" w:themeShade="BF"/>
          <w:sz w:val="28"/>
          <w:lang w:val="nl-BE"/>
        </w:rPr>
        <w:t xml:space="preserve">De </w:t>
      </w:r>
      <w:r w:rsidR="00CC640B" w:rsidRPr="00E55800">
        <w:rPr>
          <w:rFonts w:ascii="Verdana" w:hAnsi="Verdana"/>
          <w:b/>
          <w:color w:val="2F5496" w:themeColor="accent1" w:themeShade="BF"/>
          <w:sz w:val="28"/>
          <w:lang w:val="nl-BE"/>
        </w:rPr>
        <w:t xml:space="preserve">editie </w:t>
      </w:r>
      <w:r>
        <w:rPr>
          <w:rFonts w:ascii="Verdana" w:hAnsi="Verdana"/>
          <w:b/>
          <w:color w:val="2F5496" w:themeColor="accent1" w:themeShade="BF"/>
          <w:sz w:val="28"/>
          <w:lang w:val="nl-BE"/>
        </w:rPr>
        <w:t xml:space="preserve">2018 </w:t>
      </w:r>
      <w:r w:rsidR="00CC640B" w:rsidRPr="00E55800">
        <w:rPr>
          <w:rFonts w:ascii="Verdana" w:hAnsi="Verdana"/>
          <w:b/>
          <w:color w:val="2F5496" w:themeColor="accent1" w:themeShade="BF"/>
          <w:sz w:val="28"/>
          <w:lang w:val="nl-BE"/>
        </w:rPr>
        <w:t xml:space="preserve">van het UMA-rapport over de evolutie </w:t>
      </w:r>
    </w:p>
    <w:p w:rsidR="00E74E43" w:rsidRPr="00E55800" w:rsidRDefault="00CC640B" w:rsidP="00E74E43">
      <w:pPr>
        <w:jc w:val="center"/>
        <w:outlineLvl w:val="0"/>
        <w:rPr>
          <w:rFonts w:ascii="Verdana" w:hAnsi="Verdana"/>
          <w:b/>
          <w:color w:val="2F5496" w:themeColor="accent1" w:themeShade="BF"/>
          <w:sz w:val="28"/>
          <w:lang w:val="nl-BE"/>
        </w:rPr>
      </w:pPr>
      <w:proofErr w:type="gramStart"/>
      <w:r w:rsidRPr="00E55800">
        <w:rPr>
          <w:rFonts w:ascii="Verdana" w:hAnsi="Verdana"/>
          <w:b/>
          <w:color w:val="2F5496" w:themeColor="accent1" w:themeShade="BF"/>
          <w:sz w:val="28"/>
          <w:lang w:val="nl-BE"/>
        </w:rPr>
        <w:t>van</w:t>
      </w:r>
      <w:proofErr w:type="gramEnd"/>
      <w:r w:rsidRPr="00E55800">
        <w:rPr>
          <w:rFonts w:ascii="Verdana" w:hAnsi="Verdana"/>
          <w:b/>
          <w:color w:val="2F5496" w:themeColor="accent1" w:themeShade="BF"/>
          <w:sz w:val="28"/>
          <w:lang w:val="nl-BE"/>
        </w:rPr>
        <w:t xml:space="preserve"> de kosten van reclameruimte</w:t>
      </w:r>
      <w:r w:rsidR="00847311">
        <w:rPr>
          <w:rFonts w:ascii="Verdana" w:hAnsi="Verdana"/>
          <w:b/>
          <w:color w:val="2F5496" w:themeColor="accent1" w:themeShade="BF"/>
          <w:sz w:val="28"/>
          <w:lang w:val="nl-BE"/>
        </w:rPr>
        <w:t xml:space="preserve"> bevat geen cijfers over digitale media, in afwachting van betrouwbare data</w:t>
      </w:r>
    </w:p>
    <w:p w:rsidR="00507D4B" w:rsidRDefault="00507D4B" w:rsidP="00E74E43">
      <w:pPr>
        <w:shd w:val="clear" w:color="auto" w:fill="FFFFFF"/>
        <w:rPr>
          <w:rFonts w:ascii="Verdana" w:hAnsi="Verdana" w:cs="Arial"/>
          <w:sz w:val="22"/>
          <w:szCs w:val="22"/>
          <w:lang w:val="nl-BE" w:eastAsia="en-GB"/>
        </w:rPr>
      </w:pPr>
    </w:p>
    <w:p w:rsidR="00684A55" w:rsidRPr="00684A55" w:rsidRDefault="00684A55" w:rsidP="00E74E43">
      <w:pPr>
        <w:shd w:val="clear" w:color="auto" w:fill="FFFFFF"/>
        <w:rPr>
          <w:rFonts w:ascii="Verdana" w:hAnsi="Verdana" w:cs="Arial"/>
          <w:b/>
          <w:color w:val="2F5496" w:themeColor="accent1" w:themeShade="BF"/>
          <w:sz w:val="22"/>
          <w:szCs w:val="22"/>
          <w:lang w:val="nl-BE" w:eastAsia="en-GB"/>
        </w:rPr>
      </w:pPr>
      <w:r w:rsidRPr="00684A55">
        <w:rPr>
          <w:rFonts w:ascii="Verdana" w:hAnsi="Verdana" w:cs="Arial"/>
          <w:b/>
          <w:color w:val="2F5496" w:themeColor="accent1" w:themeShade="BF"/>
          <w:sz w:val="22"/>
          <w:szCs w:val="22"/>
          <w:lang w:val="nl-BE" w:eastAsia="en-GB"/>
        </w:rPr>
        <w:t xml:space="preserve">Een jaarlijks referentiedocument van de UMA </w:t>
      </w:r>
    </w:p>
    <w:p w:rsidR="00BC63B8" w:rsidRDefault="00C132AC" w:rsidP="00C132AC">
      <w:pPr>
        <w:shd w:val="clear" w:color="auto" w:fill="FFFFFF"/>
        <w:rPr>
          <w:rFonts w:ascii="Verdana" w:hAnsi="Verdana" w:cs="Arial"/>
          <w:sz w:val="22"/>
          <w:szCs w:val="22"/>
          <w:lang w:val="nl-BE" w:eastAsia="en-GB"/>
        </w:rPr>
      </w:pPr>
      <w:r w:rsidRPr="00E55800">
        <w:rPr>
          <w:rFonts w:ascii="Verdana" w:hAnsi="Verdana" w:cs="Arial"/>
          <w:sz w:val="22"/>
          <w:szCs w:val="22"/>
          <w:lang w:val="nl-BE" w:eastAsia="en-GB"/>
        </w:rPr>
        <w:t xml:space="preserve">De UMA (United Media </w:t>
      </w:r>
      <w:proofErr w:type="spellStart"/>
      <w:r w:rsidRPr="00E55800">
        <w:rPr>
          <w:rFonts w:ascii="Verdana" w:hAnsi="Verdana" w:cs="Arial"/>
          <w:sz w:val="22"/>
          <w:szCs w:val="22"/>
          <w:lang w:val="nl-BE" w:eastAsia="en-GB"/>
        </w:rPr>
        <w:t>Agencies</w:t>
      </w:r>
      <w:proofErr w:type="spellEnd"/>
      <w:r w:rsidR="00847311">
        <w:rPr>
          <w:rFonts w:ascii="Verdana" w:hAnsi="Verdana" w:cs="Arial"/>
          <w:sz w:val="22"/>
          <w:szCs w:val="22"/>
          <w:lang w:val="nl-BE" w:eastAsia="en-GB"/>
        </w:rPr>
        <w:t xml:space="preserve">) </w:t>
      </w:r>
      <w:r w:rsidRPr="00E55800">
        <w:rPr>
          <w:rFonts w:ascii="Verdana" w:hAnsi="Verdana" w:cs="Arial"/>
          <w:sz w:val="22"/>
          <w:szCs w:val="22"/>
          <w:lang w:val="nl-BE" w:eastAsia="en-GB"/>
        </w:rPr>
        <w:t xml:space="preserve">publiceert </w:t>
      </w:r>
      <w:r w:rsidR="00BC63B8">
        <w:rPr>
          <w:rFonts w:ascii="Verdana" w:hAnsi="Verdana" w:cs="Arial"/>
          <w:sz w:val="22"/>
          <w:szCs w:val="22"/>
          <w:lang w:val="nl-BE" w:eastAsia="en-GB"/>
        </w:rPr>
        <w:t xml:space="preserve">zoals elk jaar een </w:t>
      </w:r>
      <w:r w:rsidRPr="00E55800">
        <w:rPr>
          <w:rFonts w:ascii="Verdana" w:hAnsi="Verdana" w:cs="Arial"/>
          <w:sz w:val="22"/>
          <w:szCs w:val="22"/>
          <w:lang w:val="nl-BE" w:eastAsia="en-GB"/>
        </w:rPr>
        <w:t xml:space="preserve">rapport met </w:t>
      </w:r>
      <w:r w:rsidR="00BC63B8">
        <w:rPr>
          <w:rFonts w:ascii="Verdana" w:hAnsi="Verdana" w:cs="Arial"/>
          <w:sz w:val="22"/>
          <w:szCs w:val="22"/>
          <w:lang w:val="nl-BE" w:eastAsia="en-GB"/>
        </w:rPr>
        <w:t xml:space="preserve">een grondige </w:t>
      </w:r>
      <w:r w:rsidRPr="00E55800">
        <w:rPr>
          <w:rFonts w:ascii="Verdana" w:hAnsi="Verdana" w:cs="Arial"/>
          <w:sz w:val="22"/>
          <w:szCs w:val="22"/>
          <w:lang w:val="nl-BE" w:eastAsia="en-GB"/>
        </w:rPr>
        <w:t xml:space="preserve">analyse van de evolutie van de </w:t>
      </w:r>
      <w:r w:rsidR="00BC63B8">
        <w:rPr>
          <w:rFonts w:ascii="Verdana" w:hAnsi="Verdana" w:cs="Arial"/>
          <w:sz w:val="22"/>
          <w:szCs w:val="22"/>
          <w:lang w:val="nl-BE" w:eastAsia="en-GB"/>
        </w:rPr>
        <w:t xml:space="preserve">kosten voor reclame in de verschillende media in ons land. De UMA baseert zich daarvoor op vergelijkbare berekeningen van </w:t>
      </w:r>
      <w:r w:rsidRPr="00E55800">
        <w:rPr>
          <w:rFonts w:ascii="Verdana" w:hAnsi="Verdana" w:cs="Arial"/>
          <w:sz w:val="22"/>
          <w:szCs w:val="22"/>
          <w:lang w:val="nl-BE" w:eastAsia="en-GB"/>
        </w:rPr>
        <w:t>de verhoudingen tussen de bruto kosten voor mediaruimte en de bereikcijfers van de media over 5 jaar.</w:t>
      </w:r>
    </w:p>
    <w:p w:rsidR="00684A55" w:rsidRDefault="00C132AC" w:rsidP="00684A55">
      <w:pPr>
        <w:shd w:val="clear" w:color="auto" w:fill="FFFFFF"/>
        <w:jc w:val="both"/>
        <w:rPr>
          <w:rFonts w:ascii="Verdana" w:hAnsi="Verdana" w:cs="Arial"/>
          <w:sz w:val="22"/>
          <w:szCs w:val="22"/>
          <w:lang w:val="nl-BE" w:eastAsia="en-GB"/>
        </w:rPr>
      </w:pPr>
      <w:r w:rsidRPr="00E55800">
        <w:rPr>
          <w:rFonts w:ascii="Verdana" w:hAnsi="Verdana" w:cs="Arial"/>
          <w:sz w:val="22"/>
          <w:szCs w:val="22"/>
          <w:lang w:val="nl-BE" w:eastAsia="en-GB"/>
        </w:rPr>
        <w:t xml:space="preserve">De editie </w:t>
      </w:r>
      <w:r w:rsidR="00BC63B8">
        <w:rPr>
          <w:rFonts w:ascii="Verdana" w:hAnsi="Verdana" w:cs="Arial"/>
          <w:sz w:val="22"/>
          <w:szCs w:val="22"/>
          <w:lang w:val="nl-BE" w:eastAsia="en-GB"/>
        </w:rPr>
        <w:t xml:space="preserve">2018 </w:t>
      </w:r>
      <w:r w:rsidRPr="00E55800">
        <w:rPr>
          <w:rFonts w:ascii="Verdana" w:hAnsi="Verdana" w:cs="Arial"/>
          <w:sz w:val="22"/>
          <w:szCs w:val="22"/>
          <w:lang w:val="nl-BE" w:eastAsia="en-GB"/>
        </w:rPr>
        <w:t>van het rapport betreft de periode van 201</w:t>
      </w:r>
      <w:r w:rsidR="00BC63B8">
        <w:rPr>
          <w:rFonts w:ascii="Verdana" w:hAnsi="Verdana" w:cs="Arial"/>
          <w:sz w:val="22"/>
          <w:szCs w:val="22"/>
          <w:lang w:val="nl-BE" w:eastAsia="en-GB"/>
        </w:rPr>
        <w:t>2</w:t>
      </w:r>
      <w:r w:rsidRPr="00E55800">
        <w:rPr>
          <w:rFonts w:ascii="Verdana" w:hAnsi="Verdana" w:cs="Arial"/>
          <w:sz w:val="22"/>
          <w:szCs w:val="22"/>
          <w:lang w:val="nl-BE" w:eastAsia="en-GB"/>
        </w:rPr>
        <w:t xml:space="preserve"> tot en met 201</w:t>
      </w:r>
      <w:r w:rsidR="00BC63B8">
        <w:rPr>
          <w:rFonts w:ascii="Verdana" w:hAnsi="Verdana" w:cs="Arial"/>
          <w:sz w:val="22"/>
          <w:szCs w:val="22"/>
          <w:lang w:val="nl-BE" w:eastAsia="en-GB"/>
        </w:rPr>
        <w:t>7</w:t>
      </w:r>
      <w:r w:rsidRPr="00E55800">
        <w:rPr>
          <w:rFonts w:ascii="Verdana" w:hAnsi="Verdana" w:cs="Arial"/>
          <w:sz w:val="22"/>
          <w:szCs w:val="22"/>
          <w:lang w:val="nl-BE" w:eastAsia="en-GB"/>
        </w:rPr>
        <w:t>. D</w:t>
      </w:r>
      <w:r w:rsidR="00BC63B8">
        <w:rPr>
          <w:rFonts w:ascii="Verdana" w:hAnsi="Verdana" w:cs="Arial"/>
          <w:sz w:val="22"/>
          <w:szCs w:val="22"/>
          <w:lang w:val="nl-BE" w:eastAsia="en-GB"/>
        </w:rPr>
        <w:t>it</w:t>
      </w:r>
      <w:r w:rsidRPr="00E55800">
        <w:rPr>
          <w:rFonts w:ascii="Verdana" w:hAnsi="Verdana" w:cs="Arial"/>
          <w:sz w:val="22"/>
          <w:szCs w:val="22"/>
          <w:lang w:val="nl-BE" w:eastAsia="en-GB"/>
        </w:rPr>
        <w:t xml:space="preserve"> jaarlijks markt</w:t>
      </w:r>
      <w:r w:rsidR="00BC63B8">
        <w:rPr>
          <w:rFonts w:ascii="Verdana" w:hAnsi="Verdana" w:cs="Arial"/>
          <w:sz w:val="22"/>
          <w:szCs w:val="22"/>
          <w:lang w:val="nl-BE" w:eastAsia="en-GB"/>
        </w:rPr>
        <w:t>overzicht</w:t>
      </w:r>
      <w:r w:rsidRPr="00E55800">
        <w:rPr>
          <w:rFonts w:ascii="Verdana" w:hAnsi="Verdana" w:cs="Arial"/>
          <w:sz w:val="22"/>
          <w:szCs w:val="22"/>
          <w:lang w:val="nl-BE" w:eastAsia="en-GB"/>
        </w:rPr>
        <w:t xml:space="preserve"> is een referentie</w:t>
      </w:r>
      <w:r w:rsidR="00485A34" w:rsidRPr="00E55800">
        <w:rPr>
          <w:rFonts w:ascii="Verdana" w:hAnsi="Verdana" w:cs="Arial"/>
          <w:sz w:val="22"/>
          <w:szCs w:val="22"/>
          <w:lang w:val="nl-BE" w:eastAsia="en-GB"/>
        </w:rPr>
        <w:t>document</w:t>
      </w:r>
      <w:r w:rsidRPr="00E55800">
        <w:rPr>
          <w:rFonts w:ascii="Verdana" w:hAnsi="Verdana" w:cs="Arial"/>
          <w:sz w:val="22"/>
          <w:szCs w:val="22"/>
          <w:lang w:val="nl-BE" w:eastAsia="en-GB"/>
        </w:rPr>
        <w:t xml:space="preserve"> voor de hele </w:t>
      </w:r>
      <w:r w:rsidR="00485A34" w:rsidRPr="00E55800">
        <w:rPr>
          <w:rFonts w:ascii="Verdana" w:hAnsi="Verdana" w:cs="Arial"/>
          <w:sz w:val="22"/>
          <w:szCs w:val="22"/>
          <w:lang w:val="nl-BE" w:eastAsia="en-GB"/>
        </w:rPr>
        <w:t xml:space="preserve">reclame – en mediamarkt. </w:t>
      </w:r>
    </w:p>
    <w:p w:rsidR="00CA5026" w:rsidRDefault="00CA5026" w:rsidP="00684A55">
      <w:pPr>
        <w:shd w:val="clear" w:color="auto" w:fill="FFFFFF"/>
        <w:jc w:val="both"/>
        <w:rPr>
          <w:rFonts w:ascii="Verdana" w:hAnsi="Verdana" w:cs="Arial"/>
          <w:sz w:val="22"/>
          <w:szCs w:val="22"/>
          <w:lang w:val="nl-BE" w:eastAsia="en-GB"/>
        </w:rPr>
      </w:pPr>
    </w:p>
    <w:p w:rsidR="00684A55" w:rsidRPr="00684A55" w:rsidRDefault="00684A55" w:rsidP="00684A55">
      <w:pPr>
        <w:shd w:val="clear" w:color="auto" w:fill="FFFFFF"/>
        <w:jc w:val="both"/>
        <w:rPr>
          <w:rFonts w:ascii="Verdana" w:hAnsi="Verdana" w:cs="Arial"/>
          <w:b/>
          <w:color w:val="2F5496" w:themeColor="accent1" w:themeShade="BF"/>
          <w:sz w:val="22"/>
          <w:szCs w:val="22"/>
          <w:lang w:val="nl-BE" w:eastAsia="en-GB"/>
        </w:rPr>
      </w:pPr>
      <w:r w:rsidRPr="00684A55">
        <w:rPr>
          <w:rFonts w:ascii="Verdana" w:hAnsi="Verdana" w:cs="Arial"/>
          <w:b/>
          <w:color w:val="2F5496" w:themeColor="accent1" w:themeShade="BF"/>
          <w:sz w:val="22"/>
          <w:szCs w:val="22"/>
          <w:lang w:val="nl-BE" w:eastAsia="en-GB"/>
        </w:rPr>
        <w:t>Geen berekeningen voor de kost van internetreclame in België</w:t>
      </w:r>
    </w:p>
    <w:p w:rsidR="00684A55" w:rsidRDefault="00684A55" w:rsidP="00684A55">
      <w:pPr>
        <w:shd w:val="clear" w:color="auto" w:fill="FFFFFF"/>
        <w:jc w:val="both"/>
        <w:rPr>
          <w:rFonts w:ascii="Verdana" w:hAnsi="Verdana" w:cs="Arial"/>
          <w:sz w:val="22"/>
          <w:szCs w:val="22"/>
          <w:lang w:val="nl-BE" w:eastAsia="en-GB"/>
        </w:rPr>
      </w:pPr>
      <w:r w:rsidRPr="00684A55">
        <w:rPr>
          <w:rFonts w:ascii="Verdana" w:hAnsi="Verdana" w:cs="Arial"/>
          <w:sz w:val="22"/>
          <w:szCs w:val="22"/>
          <w:lang w:val="nl-BE" w:eastAsia="en-GB"/>
        </w:rPr>
        <w:t xml:space="preserve">Aangezien voor 2017 geen betrouwbare gegevens </w:t>
      </w:r>
      <w:r>
        <w:rPr>
          <w:rFonts w:ascii="Verdana" w:hAnsi="Verdana" w:cs="Arial"/>
          <w:sz w:val="22"/>
          <w:szCs w:val="22"/>
          <w:lang w:val="nl-BE" w:eastAsia="en-GB"/>
        </w:rPr>
        <w:t xml:space="preserve">met betrekking tot </w:t>
      </w:r>
      <w:r w:rsidRPr="00684A55">
        <w:rPr>
          <w:rFonts w:ascii="Verdana" w:hAnsi="Verdana" w:cs="Arial"/>
          <w:sz w:val="22"/>
          <w:szCs w:val="22"/>
          <w:lang w:val="nl-BE" w:eastAsia="en-GB"/>
        </w:rPr>
        <w:t>online</w:t>
      </w:r>
      <w:r>
        <w:rPr>
          <w:rFonts w:ascii="Verdana" w:hAnsi="Verdana" w:cs="Arial"/>
          <w:sz w:val="22"/>
          <w:szCs w:val="22"/>
          <w:lang w:val="nl-BE" w:eastAsia="en-GB"/>
        </w:rPr>
        <w:t xml:space="preserve">-reclame </w:t>
      </w:r>
      <w:r w:rsidRPr="00684A55">
        <w:rPr>
          <w:rFonts w:ascii="Verdana" w:hAnsi="Verdana" w:cs="Arial"/>
          <w:sz w:val="22"/>
          <w:szCs w:val="22"/>
          <w:lang w:val="nl-BE" w:eastAsia="en-GB"/>
        </w:rPr>
        <w:t xml:space="preserve">voorhanden zijn, heeft de UMA besloten om Internet niet te behandelen in </w:t>
      </w:r>
      <w:r>
        <w:rPr>
          <w:rFonts w:ascii="Verdana" w:hAnsi="Verdana" w:cs="Arial"/>
          <w:sz w:val="22"/>
          <w:szCs w:val="22"/>
          <w:lang w:val="nl-BE" w:eastAsia="en-GB"/>
        </w:rPr>
        <w:t>het overzicht voor 2017</w:t>
      </w:r>
      <w:r w:rsidRPr="00684A55">
        <w:rPr>
          <w:rFonts w:ascii="Verdana" w:hAnsi="Verdana" w:cs="Arial"/>
          <w:sz w:val="22"/>
          <w:szCs w:val="22"/>
          <w:lang w:val="nl-BE" w:eastAsia="en-GB"/>
        </w:rPr>
        <w:t xml:space="preserve">. </w:t>
      </w:r>
      <w:r w:rsidR="009A6E40">
        <w:rPr>
          <w:rFonts w:ascii="Verdana" w:hAnsi="Verdana" w:cs="Arial"/>
          <w:sz w:val="22"/>
          <w:szCs w:val="22"/>
          <w:lang w:val="nl-BE" w:eastAsia="en-GB"/>
        </w:rPr>
        <w:t>De</w:t>
      </w:r>
      <w:r w:rsidRPr="00684A55">
        <w:rPr>
          <w:rFonts w:ascii="Verdana" w:hAnsi="Verdana" w:cs="Arial"/>
          <w:sz w:val="22"/>
          <w:szCs w:val="22"/>
          <w:lang w:val="nl-BE" w:eastAsia="en-GB"/>
        </w:rPr>
        <w:t xml:space="preserve"> berekeningen waren voornamelijk gebaseerd op resultaten van </w:t>
      </w:r>
      <w:proofErr w:type="spellStart"/>
      <w:r w:rsidRPr="00684A55">
        <w:rPr>
          <w:rFonts w:ascii="Verdana" w:hAnsi="Verdana" w:cs="Arial"/>
          <w:sz w:val="22"/>
          <w:szCs w:val="22"/>
          <w:lang w:val="nl-BE" w:eastAsia="en-GB"/>
        </w:rPr>
        <w:t>Nielsen</w:t>
      </w:r>
      <w:proofErr w:type="spellEnd"/>
      <w:r w:rsidRPr="00684A55">
        <w:rPr>
          <w:rFonts w:ascii="Verdana" w:hAnsi="Verdana" w:cs="Arial"/>
          <w:sz w:val="22"/>
          <w:szCs w:val="22"/>
          <w:lang w:val="nl-BE" w:eastAsia="en-GB"/>
        </w:rPr>
        <w:t xml:space="preserve">. Dit instituut heeft </w:t>
      </w:r>
      <w:r w:rsidR="00384B2B">
        <w:rPr>
          <w:rFonts w:ascii="Verdana" w:hAnsi="Verdana" w:cs="Arial"/>
          <w:sz w:val="22"/>
          <w:szCs w:val="22"/>
          <w:lang w:val="nl-BE" w:eastAsia="en-GB"/>
        </w:rPr>
        <w:t xml:space="preserve">in de loop van vorig jaar </w:t>
      </w:r>
      <w:r w:rsidRPr="00684A55">
        <w:rPr>
          <w:rFonts w:ascii="Verdana" w:hAnsi="Verdana" w:cs="Arial"/>
          <w:sz w:val="22"/>
          <w:szCs w:val="22"/>
          <w:lang w:val="nl-BE" w:eastAsia="en-GB"/>
        </w:rPr>
        <w:t>zijn registratiemethodes voor online investeringen grondig veranderd. Voor 2017 heeft deze verandering geleid tot inconsistente en totaal onbruikbare informatie.</w:t>
      </w:r>
      <w:r w:rsidR="00384B2B">
        <w:rPr>
          <w:rFonts w:ascii="Verdana" w:hAnsi="Verdana" w:cs="Arial"/>
          <w:sz w:val="22"/>
          <w:szCs w:val="22"/>
          <w:lang w:val="nl-BE" w:eastAsia="en-GB"/>
        </w:rPr>
        <w:t xml:space="preserve"> De UMA bestudeert nu in een speciale werkgroep de mogelijkheden om via andere </w:t>
      </w:r>
      <w:r w:rsidR="006C662E">
        <w:rPr>
          <w:rFonts w:ascii="Verdana" w:hAnsi="Verdana" w:cs="Arial"/>
          <w:sz w:val="22"/>
          <w:szCs w:val="22"/>
          <w:lang w:val="nl-BE" w:eastAsia="en-GB"/>
        </w:rPr>
        <w:t>data</w:t>
      </w:r>
      <w:r w:rsidR="00384B2B">
        <w:rPr>
          <w:rFonts w:ascii="Verdana" w:hAnsi="Verdana" w:cs="Arial"/>
          <w:sz w:val="22"/>
          <w:szCs w:val="22"/>
          <w:lang w:val="nl-BE" w:eastAsia="en-GB"/>
        </w:rPr>
        <w:t xml:space="preserve">bronnen ook voor het internet tot betrouwbare berekeningen te komen. </w:t>
      </w:r>
    </w:p>
    <w:p w:rsidR="00384B2B" w:rsidRDefault="00384B2B" w:rsidP="00684A55">
      <w:pPr>
        <w:shd w:val="clear" w:color="auto" w:fill="FFFFFF"/>
        <w:jc w:val="both"/>
        <w:rPr>
          <w:rFonts w:ascii="Verdana" w:hAnsi="Verdana" w:cs="Arial"/>
          <w:sz w:val="22"/>
          <w:szCs w:val="22"/>
          <w:lang w:val="nl-BE" w:eastAsia="en-GB"/>
        </w:rPr>
      </w:pPr>
    </w:p>
    <w:p w:rsidR="00384B2B" w:rsidRPr="007A42F6" w:rsidRDefault="00C132AC" w:rsidP="00C132AC">
      <w:pPr>
        <w:shd w:val="clear" w:color="auto" w:fill="FFFFFF"/>
        <w:rPr>
          <w:noProof/>
          <w:lang w:val="nl-BE" w:eastAsia="en-GB"/>
        </w:rPr>
      </w:pPr>
      <w:r w:rsidRPr="00E55800">
        <w:rPr>
          <w:rFonts w:ascii="Verdana" w:hAnsi="Verdana" w:cs="Arial"/>
          <w:sz w:val="22"/>
          <w:szCs w:val="22"/>
          <w:lang w:val="nl-BE" w:eastAsia="en-GB"/>
        </w:rPr>
        <w:t xml:space="preserve">- </w:t>
      </w:r>
      <w:r w:rsidR="006C662E" w:rsidRPr="000B44EF">
        <w:rPr>
          <w:noProof/>
          <w:color w:val="000000" w:themeColor="text1"/>
          <w:lang w:eastAsia="fr-BE"/>
        </w:rPr>
        <w:drawing>
          <wp:inline distT="0" distB="0" distL="0" distR="0" wp14:anchorId="5B4A536A" wp14:editId="4D6EE272">
            <wp:extent cx="5384800" cy="3752850"/>
            <wp:effectExtent l="0" t="0" r="635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A42F6" w:rsidRDefault="007A42F6" w:rsidP="00C132AC">
      <w:pPr>
        <w:shd w:val="clear" w:color="auto" w:fill="FFFFFF"/>
        <w:rPr>
          <w:rFonts w:ascii="Verdana" w:hAnsi="Verdana" w:cs="Arial"/>
          <w:sz w:val="22"/>
          <w:szCs w:val="22"/>
          <w:lang w:val="nl-BE" w:eastAsia="en-GB"/>
        </w:rPr>
      </w:pPr>
    </w:p>
    <w:p w:rsidR="00384B2B" w:rsidRPr="007A42F6" w:rsidRDefault="007A42F6" w:rsidP="00384B2B">
      <w:pPr>
        <w:rPr>
          <w:rFonts w:ascii="Verdana" w:hAnsi="Verdana" w:cs="Arial"/>
          <w:b/>
          <w:color w:val="2F5496" w:themeColor="accent1" w:themeShade="BF"/>
          <w:sz w:val="22"/>
          <w:szCs w:val="22"/>
          <w:lang w:val="nl-BE" w:eastAsia="en-GB"/>
        </w:rPr>
      </w:pPr>
      <w:r w:rsidRPr="007A42F6">
        <w:rPr>
          <w:rFonts w:ascii="Verdana" w:hAnsi="Verdana" w:cs="Arial"/>
          <w:b/>
          <w:color w:val="2F5496" w:themeColor="accent1" w:themeShade="BF"/>
          <w:sz w:val="22"/>
          <w:szCs w:val="22"/>
          <w:lang w:val="nl-BE" w:eastAsia="en-GB"/>
        </w:rPr>
        <w:t>Vergelijkingen worden bemoeilijkt door methodologische wijzigingen in de bereikstudies</w:t>
      </w:r>
    </w:p>
    <w:p w:rsidR="00384B2B" w:rsidRDefault="00384B2B" w:rsidP="00384B2B">
      <w:pPr>
        <w:rPr>
          <w:rFonts w:ascii="Verdana" w:hAnsi="Verdana" w:cs="Arial"/>
          <w:sz w:val="22"/>
          <w:szCs w:val="22"/>
          <w:lang w:val="nl-BE" w:eastAsia="en-GB"/>
        </w:rPr>
      </w:pPr>
      <w:r w:rsidRPr="00E55800">
        <w:rPr>
          <w:rFonts w:ascii="Verdana" w:hAnsi="Verdana" w:cs="Arial"/>
          <w:sz w:val="22"/>
          <w:szCs w:val="22"/>
          <w:lang w:val="nl-BE" w:eastAsia="en-GB"/>
        </w:rPr>
        <w:t xml:space="preserve">De macro-economische benchmarks zijn gebaseerd op een brede analyse van de </w:t>
      </w:r>
      <w:r>
        <w:rPr>
          <w:rFonts w:ascii="Verdana" w:hAnsi="Verdana" w:cs="Arial"/>
          <w:sz w:val="22"/>
          <w:szCs w:val="22"/>
          <w:lang w:val="nl-BE" w:eastAsia="en-GB"/>
        </w:rPr>
        <w:t xml:space="preserve">evolutie van </w:t>
      </w:r>
      <w:r w:rsidRPr="00E55800">
        <w:rPr>
          <w:rFonts w:ascii="Verdana" w:hAnsi="Verdana" w:cs="Arial"/>
          <w:sz w:val="22"/>
          <w:szCs w:val="22"/>
          <w:lang w:val="nl-BE" w:eastAsia="en-GB"/>
        </w:rPr>
        <w:t xml:space="preserve">de officiële tarieven voor </w:t>
      </w:r>
      <w:r>
        <w:rPr>
          <w:rFonts w:ascii="Verdana" w:hAnsi="Verdana" w:cs="Arial"/>
          <w:sz w:val="22"/>
          <w:szCs w:val="22"/>
          <w:lang w:val="nl-BE" w:eastAsia="en-GB"/>
        </w:rPr>
        <w:t xml:space="preserve">reclameruimte in </w:t>
      </w:r>
      <w:r w:rsidRPr="00E55800">
        <w:rPr>
          <w:rFonts w:ascii="Verdana" w:hAnsi="Verdana" w:cs="Arial"/>
          <w:sz w:val="22"/>
          <w:szCs w:val="22"/>
          <w:lang w:val="nl-BE" w:eastAsia="en-GB"/>
        </w:rPr>
        <w:t>de verschillende media in combinatie met de evolutie van hun bereik bij een zo groot mogelijke doelgroep. (Belgische bevolking van 15 jaar en ouder).</w:t>
      </w:r>
      <w:r w:rsidR="007A42F6">
        <w:rPr>
          <w:rFonts w:ascii="Verdana" w:hAnsi="Verdana" w:cs="Arial"/>
          <w:sz w:val="22"/>
          <w:szCs w:val="22"/>
          <w:lang w:val="nl-BE" w:eastAsia="en-GB"/>
        </w:rPr>
        <w:t xml:space="preserve"> </w:t>
      </w:r>
      <w:r w:rsidR="007A42F6" w:rsidRPr="007A42F6">
        <w:rPr>
          <w:rFonts w:ascii="Verdana" w:hAnsi="Verdana" w:cs="Arial"/>
          <w:sz w:val="22"/>
          <w:szCs w:val="22"/>
          <w:lang w:val="nl-BE" w:eastAsia="en-GB"/>
        </w:rPr>
        <w:t>Zeker tijdens de laatste jaren worden vergelijkingen over de jaren heen in dit jaarlijks overzicht bemoeilijkt door de wijzigingen in de meetmethodes binnen de studies die we gebruiken voor de berekeningen van de kosten per duizend contacten</w:t>
      </w:r>
      <w:r w:rsidR="007A42F6">
        <w:rPr>
          <w:rFonts w:ascii="Verdana" w:hAnsi="Verdana" w:cs="Arial"/>
          <w:sz w:val="22"/>
          <w:szCs w:val="22"/>
          <w:lang w:val="nl-BE" w:eastAsia="en-GB"/>
        </w:rPr>
        <w:t xml:space="preserve">. Zo ondergingen sinds 2016 de </w:t>
      </w:r>
      <w:proofErr w:type="gramStart"/>
      <w:r w:rsidR="007A42F6">
        <w:rPr>
          <w:rFonts w:ascii="Verdana" w:hAnsi="Verdana" w:cs="Arial"/>
          <w:sz w:val="22"/>
          <w:szCs w:val="22"/>
          <w:lang w:val="nl-BE" w:eastAsia="en-GB"/>
        </w:rPr>
        <w:t>CIM bereikstudies</w:t>
      </w:r>
      <w:proofErr w:type="gramEnd"/>
      <w:r w:rsidR="007A42F6">
        <w:rPr>
          <w:rFonts w:ascii="Verdana" w:hAnsi="Verdana" w:cs="Arial"/>
          <w:sz w:val="22"/>
          <w:szCs w:val="22"/>
          <w:lang w:val="nl-BE" w:eastAsia="en-GB"/>
        </w:rPr>
        <w:t xml:space="preserve"> voor de pers en Out Of Home grondige wijzigingen met een belangrijke impact op hun bereikniveaus.</w:t>
      </w:r>
    </w:p>
    <w:p w:rsidR="00384B2B" w:rsidRDefault="00384B2B" w:rsidP="00384B2B">
      <w:pPr>
        <w:shd w:val="clear" w:color="auto" w:fill="FFFFFF"/>
        <w:rPr>
          <w:rFonts w:ascii="Verdana" w:hAnsi="Verdana" w:cs="Arial"/>
          <w:sz w:val="22"/>
          <w:szCs w:val="22"/>
          <w:lang w:val="nl-BE" w:eastAsia="en-GB"/>
        </w:rPr>
      </w:pPr>
    </w:p>
    <w:p w:rsidR="00FE202A" w:rsidRDefault="00FE202A" w:rsidP="00384B2B">
      <w:pPr>
        <w:shd w:val="clear" w:color="auto" w:fill="FFFFFF"/>
        <w:rPr>
          <w:rFonts w:ascii="Verdana" w:hAnsi="Verdana" w:cs="Arial"/>
          <w:sz w:val="22"/>
          <w:szCs w:val="22"/>
          <w:lang w:val="nl-BE" w:eastAsia="en-GB"/>
        </w:rPr>
      </w:pPr>
    </w:p>
    <w:p w:rsidR="00684A55" w:rsidRPr="007A42F6" w:rsidRDefault="006C662E" w:rsidP="00384B2B">
      <w:pPr>
        <w:rPr>
          <w:rFonts w:ascii="Verdana" w:hAnsi="Verdana" w:cs="Arial"/>
          <w:b/>
          <w:color w:val="2F5496" w:themeColor="accent1" w:themeShade="BF"/>
          <w:sz w:val="22"/>
          <w:szCs w:val="22"/>
          <w:lang w:val="nl-BE" w:eastAsia="en-GB"/>
        </w:rPr>
      </w:pPr>
      <w:r w:rsidRPr="007A42F6">
        <w:rPr>
          <w:rFonts w:ascii="Verdana" w:hAnsi="Verdana" w:cs="Arial"/>
          <w:b/>
          <w:color w:val="2F5496" w:themeColor="accent1" w:themeShade="BF"/>
          <w:sz w:val="22"/>
          <w:szCs w:val="22"/>
          <w:lang w:val="nl-BE" w:eastAsia="en-GB"/>
        </w:rPr>
        <w:t xml:space="preserve">Het rapport voor de periode 2012-2017 bevat </w:t>
      </w:r>
      <w:r w:rsidR="00684A55" w:rsidRPr="007A42F6">
        <w:rPr>
          <w:rFonts w:ascii="Verdana" w:hAnsi="Verdana" w:cs="Arial"/>
          <w:b/>
          <w:color w:val="2F5496" w:themeColor="accent1" w:themeShade="BF"/>
          <w:sz w:val="22"/>
          <w:szCs w:val="22"/>
          <w:lang w:val="nl-BE" w:eastAsia="en-GB"/>
        </w:rPr>
        <w:t>enkele belangrijke vaststellingen:</w:t>
      </w:r>
    </w:p>
    <w:p w:rsidR="00684A55" w:rsidRPr="00E55800" w:rsidRDefault="00684A55" w:rsidP="00684A55">
      <w:pPr>
        <w:shd w:val="clear" w:color="auto" w:fill="FFFFFF"/>
        <w:rPr>
          <w:rFonts w:ascii="Verdana" w:hAnsi="Verdana" w:cs="Arial"/>
          <w:sz w:val="22"/>
          <w:szCs w:val="22"/>
          <w:lang w:val="nl-BE" w:eastAsia="en-GB"/>
        </w:rPr>
      </w:pPr>
    </w:p>
    <w:p w:rsidR="00684A55" w:rsidRDefault="00684A55" w:rsidP="00684A55">
      <w:pPr>
        <w:shd w:val="clear" w:color="auto" w:fill="FFFFFF"/>
        <w:rPr>
          <w:rFonts w:ascii="Verdana" w:hAnsi="Verdana" w:cs="Arial"/>
          <w:sz w:val="22"/>
          <w:szCs w:val="22"/>
          <w:lang w:val="nl-BE" w:eastAsia="en-GB"/>
        </w:rPr>
      </w:pPr>
      <w:r w:rsidRPr="00E55800">
        <w:rPr>
          <w:rFonts w:ascii="Verdana" w:hAnsi="Verdana" w:cs="Arial"/>
          <w:sz w:val="22"/>
          <w:szCs w:val="22"/>
          <w:lang w:val="nl-BE" w:eastAsia="en-GB"/>
        </w:rPr>
        <w:t>-</w:t>
      </w:r>
      <w:r w:rsidR="006C662E">
        <w:rPr>
          <w:rFonts w:ascii="Verdana" w:hAnsi="Verdana" w:cs="Arial"/>
          <w:sz w:val="22"/>
          <w:szCs w:val="22"/>
          <w:lang w:val="nl-BE" w:eastAsia="en-GB"/>
        </w:rPr>
        <w:t xml:space="preserve"> </w:t>
      </w:r>
      <w:r w:rsidR="006C662E" w:rsidRPr="006C662E">
        <w:rPr>
          <w:rFonts w:ascii="Verdana" w:hAnsi="Verdana" w:cs="Arial"/>
          <w:sz w:val="22"/>
          <w:szCs w:val="22"/>
          <w:lang w:val="nl-BE" w:eastAsia="en-GB"/>
        </w:rPr>
        <w:t>Tijdens de geobserveerde periode stelt men vast dat de algemene inflatie sneller stijgt (+6% in 5 jaar) dan de prijzen van offline mediaruimte die van jaar tot jaar fors schommelen en uiteindelijk in 2017 op hetzelfde niveau zitten als 5 jaar voordien.</w:t>
      </w:r>
    </w:p>
    <w:p w:rsidR="00E23A7C" w:rsidRDefault="00E23A7C" w:rsidP="00C132AC">
      <w:pPr>
        <w:shd w:val="clear" w:color="auto" w:fill="FFFFFF"/>
        <w:rPr>
          <w:rFonts w:ascii="Verdana" w:hAnsi="Verdana" w:cs="Arial"/>
          <w:sz w:val="22"/>
          <w:szCs w:val="22"/>
          <w:lang w:val="nl-BE" w:eastAsia="en-GB"/>
        </w:rPr>
      </w:pPr>
    </w:p>
    <w:p w:rsidR="00E23A7C" w:rsidRDefault="00E23A7C" w:rsidP="00E23A7C">
      <w:pPr>
        <w:shd w:val="clear" w:color="auto" w:fill="FFFFFF"/>
        <w:rPr>
          <w:rFonts w:ascii="Verdana" w:hAnsi="Verdana" w:cs="Arial"/>
          <w:sz w:val="22"/>
          <w:szCs w:val="22"/>
          <w:lang w:val="nl-BE" w:eastAsia="en-GB"/>
        </w:rPr>
      </w:pPr>
      <w:r>
        <w:rPr>
          <w:rFonts w:ascii="Verdana" w:hAnsi="Verdana" w:cs="Arial"/>
          <w:sz w:val="22"/>
          <w:szCs w:val="22"/>
          <w:lang w:val="nl-BE" w:eastAsia="en-GB"/>
        </w:rPr>
        <w:t xml:space="preserve">- </w:t>
      </w:r>
      <w:r w:rsidR="006C662E" w:rsidRPr="006C662E">
        <w:rPr>
          <w:rFonts w:ascii="Verdana" w:hAnsi="Verdana" w:cs="Arial"/>
          <w:sz w:val="22"/>
          <w:szCs w:val="22"/>
          <w:lang w:val="nl-BE" w:eastAsia="en-GB"/>
        </w:rPr>
        <w:t xml:space="preserve">De evolutie van de algemene kost per duizend contacten van </w:t>
      </w:r>
      <w:r w:rsidR="006C662E">
        <w:rPr>
          <w:rFonts w:ascii="Verdana" w:hAnsi="Verdana" w:cs="Arial"/>
          <w:sz w:val="22"/>
          <w:szCs w:val="22"/>
          <w:lang w:val="nl-BE" w:eastAsia="en-GB"/>
        </w:rPr>
        <w:t xml:space="preserve">alle </w:t>
      </w:r>
      <w:r w:rsidR="00CB3AC6">
        <w:rPr>
          <w:rFonts w:ascii="Verdana" w:hAnsi="Verdana" w:cs="Arial"/>
          <w:sz w:val="22"/>
          <w:szCs w:val="22"/>
          <w:lang w:val="nl-BE" w:eastAsia="en-GB"/>
        </w:rPr>
        <w:t>(offline)</w:t>
      </w:r>
      <w:r w:rsidR="00CB3AC6">
        <w:rPr>
          <w:rFonts w:ascii="Verdana" w:hAnsi="Verdana" w:cs="Arial"/>
          <w:sz w:val="22"/>
          <w:szCs w:val="22"/>
          <w:lang w:val="nl-BE" w:eastAsia="en-GB"/>
        </w:rPr>
        <w:t xml:space="preserve"> </w:t>
      </w:r>
      <w:r w:rsidR="006C662E" w:rsidRPr="006C662E">
        <w:rPr>
          <w:rFonts w:ascii="Verdana" w:hAnsi="Verdana" w:cs="Arial"/>
          <w:sz w:val="22"/>
          <w:szCs w:val="22"/>
          <w:lang w:val="nl-BE" w:eastAsia="en-GB"/>
        </w:rPr>
        <w:t xml:space="preserve">media </w:t>
      </w:r>
      <w:r w:rsidR="006C662E">
        <w:rPr>
          <w:rFonts w:ascii="Verdana" w:hAnsi="Verdana" w:cs="Arial"/>
          <w:sz w:val="22"/>
          <w:szCs w:val="22"/>
          <w:lang w:val="nl-BE" w:eastAsia="en-GB"/>
        </w:rPr>
        <w:t xml:space="preserve">samen </w:t>
      </w:r>
      <w:r w:rsidR="006C662E" w:rsidRPr="006C662E">
        <w:rPr>
          <w:rFonts w:ascii="Verdana" w:hAnsi="Verdana" w:cs="Arial"/>
          <w:sz w:val="22"/>
          <w:szCs w:val="22"/>
          <w:lang w:val="nl-BE" w:eastAsia="en-GB"/>
        </w:rPr>
        <w:t xml:space="preserve">(bijna +10%) ligt </w:t>
      </w:r>
      <w:r w:rsidR="003F3077">
        <w:rPr>
          <w:rFonts w:ascii="Verdana" w:hAnsi="Verdana" w:cs="Arial"/>
          <w:sz w:val="22"/>
          <w:szCs w:val="22"/>
          <w:lang w:val="nl-BE" w:eastAsia="en-GB"/>
        </w:rPr>
        <w:t xml:space="preserve">aanzienlijk </w:t>
      </w:r>
      <w:r w:rsidR="006C662E" w:rsidRPr="006C662E">
        <w:rPr>
          <w:rFonts w:ascii="Verdana" w:hAnsi="Verdana" w:cs="Arial"/>
          <w:sz w:val="22"/>
          <w:szCs w:val="22"/>
          <w:lang w:val="nl-BE" w:eastAsia="en-GB"/>
        </w:rPr>
        <w:t>hoger dan de algemene inflatie (+6%).</w:t>
      </w:r>
    </w:p>
    <w:p w:rsidR="00B4577B" w:rsidRDefault="00B4577B" w:rsidP="00C132AC">
      <w:pPr>
        <w:shd w:val="clear" w:color="auto" w:fill="FFFFFF"/>
        <w:rPr>
          <w:rFonts w:ascii="Verdana" w:hAnsi="Verdana" w:cs="Arial"/>
          <w:sz w:val="22"/>
          <w:szCs w:val="22"/>
          <w:lang w:val="nl-BE" w:eastAsia="en-GB"/>
        </w:rPr>
      </w:pPr>
    </w:p>
    <w:p w:rsidR="00B4577B" w:rsidRDefault="00B4577B" w:rsidP="00C132AC">
      <w:pPr>
        <w:shd w:val="clear" w:color="auto" w:fill="FFFFFF"/>
        <w:rPr>
          <w:rFonts w:ascii="Verdana" w:hAnsi="Verdana" w:cs="Arial"/>
          <w:sz w:val="22"/>
          <w:szCs w:val="22"/>
          <w:lang w:val="nl-BE" w:eastAsia="en-GB"/>
        </w:rPr>
      </w:pPr>
      <w:r>
        <w:rPr>
          <w:rFonts w:ascii="Verdana" w:hAnsi="Verdana" w:cs="Arial"/>
          <w:sz w:val="22"/>
          <w:szCs w:val="22"/>
          <w:lang w:val="nl-BE" w:eastAsia="en-GB"/>
        </w:rPr>
        <w:t xml:space="preserve">- </w:t>
      </w:r>
      <w:r w:rsidRPr="00B4577B">
        <w:rPr>
          <w:rFonts w:ascii="Verdana" w:hAnsi="Verdana" w:cs="Arial"/>
          <w:sz w:val="22"/>
          <w:szCs w:val="22"/>
          <w:lang w:val="nl-BE" w:eastAsia="en-GB"/>
        </w:rPr>
        <w:t xml:space="preserve">De laatste jaren </w:t>
      </w:r>
      <w:r w:rsidR="00E23A7C">
        <w:rPr>
          <w:rFonts w:ascii="Verdana" w:hAnsi="Verdana" w:cs="Arial"/>
          <w:sz w:val="22"/>
          <w:szCs w:val="22"/>
          <w:lang w:val="nl-BE" w:eastAsia="en-GB"/>
        </w:rPr>
        <w:t xml:space="preserve">wordt </w:t>
      </w:r>
      <w:r w:rsidRPr="00B4577B">
        <w:rPr>
          <w:rFonts w:ascii="Verdana" w:hAnsi="Verdana" w:cs="Arial"/>
          <w:sz w:val="22"/>
          <w:szCs w:val="22"/>
          <w:lang w:val="nl-BE" w:eastAsia="en-GB"/>
        </w:rPr>
        <w:t xml:space="preserve">de </w:t>
      </w:r>
      <w:r>
        <w:rPr>
          <w:rFonts w:ascii="Verdana" w:hAnsi="Verdana" w:cs="Arial"/>
          <w:sz w:val="22"/>
          <w:szCs w:val="22"/>
          <w:lang w:val="nl-BE" w:eastAsia="en-GB"/>
        </w:rPr>
        <w:t xml:space="preserve">algemene </w:t>
      </w:r>
      <w:r w:rsidRPr="00B4577B">
        <w:rPr>
          <w:rFonts w:ascii="Verdana" w:hAnsi="Verdana" w:cs="Arial"/>
          <w:sz w:val="22"/>
          <w:szCs w:val="22"/>
          <w:lang w:val="nl-BE" w:eastAsia="en-GB"/>
        </w:rPr>
        <w:t>kost per duiz</w:t>
      </w:r>
      <w:r>
        <w:rPr>
          <w:rFonts w:ascii="Verdana" w:hAnsi="Verdana" w:cs="Arial"/>
          <w:sz w:val="22"/>
          <w:szCs w:val="22"/>
          <w:lang w:val="nl-BE" w:eastAsia="en-GB"/>
        </w:rPr>
        <w:t xml:space="preserve">end door alle media </w:t>
      </w:r>
      <w:r w:rsidR="00F20BA8">
        <w:rPr>
          <w:rFonts w:ascii="Verdana" w:hAnsi="Verdana" w:cs="Arial"/>
          <w:sz w:val="22"/>
          <w:szCs w:val="22"/>
          <w:lang w:val="nl-BE" w:eastAsia="en-GB"/>
        </w:rPr>
        <w:t>opwaarts gestuwd</w:t>
      </w:r>
      <w:r w:rsidR="007A42F6">
        <w:rPr>
          <w:rFonts w:ascii="Verdana" w:hAnsi="Verdana" w:cs="Arial"/>
          <w:sz w:val="22"/>
          <w:szCs w:val="22"/>
          <w:lang w:val="nl-BE" w:eastAsia="en-GB"/>
        </w:rPr>
        <w:t xml:space="preserve">, door Out Of Home (affichage) en de magazinepers in het bijzonder en </w:t>
      </w:r>
      <w:r w:rsidR="007A42F6" w:rsidRPr="007A42F6">
        <w:rPr>
          <w:rFonts w:ascii="Verdana" w:hAnsi="Verdana" w:cs="Arial"/>
          <w:sz w:val="22"/>
          <w:szCs w:val="22"/>
          <w:lang w:val="nl-BE" w:eastAsia="en-GB"/>
        </w:rPr>
        <w:t>met als enige uitzondering de dagbladpers in 2016 en 2017 (ter herinnering: er zijn methodologische verschillen in de bereikstudie 2017 voor de pers ten aanzien van de vorige jaren).</w:t>
      </w:r>
    </w:p>
    <w:p w:rsidR="00B4577B" w:rsidRDefault="00B4577B" w:rsidP="00C132AC">
      <w:pPr>
        <w:shd w:val="clear" w:color="auto" w:fill="FFFFFF"/>
        <w:rPr>
          <w:rFonts w:ascii="Verdana" w:hAnsi="Verdana" w:cs="Arial"/>
          <w:sz w:val="22"/>
          <w:szCs w:val="22"/>
          <w:lang w:val="nl-BE" w:eastAsia="en-GB"/>
        </w:rPr>
      </w:pPr>
    </w:p>
    <w:p w:rsidR="00FC67CF" w:rsidRDefault="005B6950" w:rsidP="00C132AC">
      <w:pPr>
        <w:shd w:val="clear" w:color="auto" w:fill="FFFFFF"/>
        <w:rPr>
          <w:rFonts w:ascii="Verdana" w:hAnsi="Verdana" w:cs="Arial"/>
          <w:sz w:val="22"/>
          <w:szCs w:val="22"/>
          <w:lang w:val="nl-BE" w:eastAsia="en-GB"/>
        </w:rPr>
      </w:pPr>
      <w:r>
        <w:rPr>
          <w:rFonts w:ascii="Verdana" w:hAnsi="Verdana" w:cs="Arial"/>
          <w:noProof/>
          <w:sz w:val="22"/>
          <w:szCs w:val="22"/>
          <w:lang w:val="nl-BE" w:eastAsia="en-GB"/>
        </w:rPr>
        <w:object w:dxaOrig="1440" w:dyaOrig="1440" w14:anchorId="541C52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5pt;margin-top:9.3pt;width:450.8pt;height:168.75pt;z-index:251658240;mso-position-horizontal-relative:text;mso-position-vertical-relative:text">
            <v:imagedata r:id="rId9" o:title=""/>
            <w10:wrap type="square" side="right"/>
          </v:shape>
          <o:OLEObject Type="Embed" ProgID="Excel.Sheet.12" ShapeID="_x0000_s1026" DrawAspect="Content" ObjectID="_1587230466" r:id="rId10"/>
        </w:object>
      </w:r>
    </w:p>
    <w:p w:rsidR="00FC67CF" w:rsidRDefault="00FC67CF">
      <w:pPr>
        <w:rPr>
          <w:rFonts w:ascii="Verdana" w:hAnsi="Verdana" w:cs="Arial"/>
          <w:sz w:val="22"/>
          <w:szCs w:val="22"/>
          <w:lang w:val="nl-BE" w:eastAsia="en-GB"/>
        </w:rPr>
      </w:pPr>
      <w:r>
        <w:rPr>
          <w:rFonts w:ascii="Verdana" w:hAnsi="Verdana" w:cs="Arial"/>
          <w:sz w:val="22"/>
          <w:szCs w:val="22"/>
          <w:lang w:val="nl-BE" w:eastAsia="en-GB"/>
        </w:rPr>
        <w:br w:type="page"/>
      </w:r>
    </w:p>
    <w:p w:rsidR="00FC67CF" w:rsidRDefault="00FC67CF" w:rsidP="00C132AC">
      <w:pPr>
        <w:shd w:val="clear" w:color="auto" w:fill="FFFFFF"/>
        <w:rPr>
          <w:rFonts w:ascii="Verdana" w:hAnsi="Verdana" w:cs="Arial"/>
          <w:sz w:val="22"/>
          <w:szCs w:val="22"/>
          <w:lang w:val="nl-BE" w:eastAsia="en-GB"/>
        </w:rPr>
      </w:pPr>
    </w:p>
    <w:p w:rsidR="00FC67CF" w:rsidRDefault="00FC67CF" w:rsidP="00C132AC">
      <w:pPr>
        <w:shd w:val="clear" w:color="auto" w:fill="FFFFFF"/>
        <w:rPr>
          <w:rFonts w:ascii="Verdana" w:hAnsi="Verdana" w:cs="Arial"/>
          <w:sz w:val="22"/>
          <w:szCs w:val="22"/>
          <w:lang w:val="nl-BE" w:eastAsia="en-GB"/>
        </w:rPr>
      </w:pPr>
    </w:p>
    <w:p w:rsidR="00FE202A" w:rsidRDefault="00C00D02" w:rsidP="00B4577B">
      <w:pPr>
        <w:shd w:val="clear" w:color="auto" w:fill="FFFFFF"/>
        <w:rPr>
          <w:rFonts w:ascii="Verdana" w:hAnsi="Verdana" w:cs="Arial"/>
          <w:sz w:val="22"/>
          <w:szCs w:val="22"/>
          <w:lang w:val="nl-BE" w:eastAsia="en-GB"/>
        </w:rPr>
      </w:pPr>
      <w:r w:rsidRPr="00E55800">
        <w:rPr>
          <w:rFonts w:ascii="Verdana" w:hAnsi="Verdana" w:cs="Arial"/>
          <w:sz w:val="22"/>
          <w:szCs w:val="22"/>
          <w:lang w:val="nl-BE" w:eastAsia="en-GB"/>
        </w:rPr>
        <w:t>De conclusies met betrekking tot de mediakosten uit de globale analyse zijn zeker solide, maar ze kunnen natuurlijk wel afwijken van de individuele ervaringen van adverteerders, die zich meer bepaald richten naar specifieke doelgroepen of die in hun mediastrategie gebruik maken van een media</w:t>
      </w:r>
      <w:r>
        <w:rPr>
          <w:rFonts w:ascii="Verdana" w:hAnsi="Verdana" w:cs="Arial"/>
          <w:sz w:val="22"/>
          <w:szCs w:val="22"/>
          <w:lang w:val="nl-BE" w:eastAsia="en-GB"/>
        </w:rPr>
        <w:t>-</w:t>
      </w:r>
      <w:r w:rsidRPr="00E55800">
        <w:rPr>
          <w:rFonts w:ascii="Verdana" w:hAnsi="Verdana" w:cs="Arial"/>
          <w:sz w:val="22"/>
          <w:szCs w:val="22"/>
          <w:lang w:val="nl-BE" w:eastAsia="en-GB"/>
        </w:rPr>
        <w:t xml:space="preserve">mix die sterk </w:t>
      </w:r>
      <w:r>
        <w:rPr>
          <w:rFonts w:ascii="Verdana" w:hAnsi="Verdana" w:cs="Arial"/>
          <w:sz w:val="22"/>
          <w:szCs w:val="22"/>
          <w:lang w:val="nl-BE" w:eastAsia="en-GB"/>
        </w:rPr>
        <w:t xml:space="preserve">afwijkt van </w:t>
      </w:r>
      <w:r w:rsidRPr="00E55800">
        <w:rPr>
          <w:rFonts w:ascii="Verdana" w:hAnsi="Verdana" w:cs="Arial"/>
          <w:sz w:val="22"/>
          <w:szCs w:val="22"/>
          <w:lang w:val="nl-BE" w:eastAsia="en-GB"/>
        </w:rPr>
        <w:t xml:space="preserve">het marktgemiddelde en daardoor nettoprijzen kunnen verkrijgen die sterk verlaagd worden door aanzienlijke kortingen. </w:t>
      </w:r>
    </w:p>
    <w:p w:rsidR="00C00D02" w:rsidRDefault="00C00D02" w:rsidP="00B4577B">
      <w:pPr>
        <w:shd w:val="clear" w:color="auto" w:fill="FFFFFF"/>
        <w:rPr>
          <w:rFonts w:ascii="Verdana" w:hAnsi="Verdana" w:cs="Arial"/>
          <w:sz w:val="22"/>
          <w:szCs w:val="22"/>
          <w:lang w:val="nl-BE" w:eastAsia="en-GB"/>
        </w:rPr>
      </w:pPr>
      <w:r w:rsidRPr="00E55800">
        <w:rPr>
          <w:rFonts w:ascii="Verdana" w:hAnsi="Verdana" w:cs="Arial"/>
          <w:sz w:val="22"/>
          <w:szCs w:val="22"/>
          <w:lang w:val="nl-BE" w:eastAsia="en-GB"/>
        </w:rPr>
        <w:t>Maar hetzelfde geldt eigenlijk ook voor de analyse van de inflatiecijfers en de gemiddelde consumptieprijzen: elke consument ervaart de evolutie van de prijzen op zijn eigen manier, afhankelijk van het eigen aankoopgedrag.</w:t>
      </w:r>
    </w:p>
    <w:p w:rsidR="00FE202A" w:rsidRDefault="00FE202A" w:rsidP="00B4577B">
      <w:pPr>
        <w:shd w:val="clear" w:color="auto" w:fill="FFFFFF"/>
        <w:rPr>
          <w:rFonts w:ascii="Verdana" w:hAnsi="Verdana" w:cs="Arial"/>
          <w:sz w:val="22"/>
          <w:szCs w:val="22"/>
          <w:lang w:val="nl-BE" w:eastAsia="en-GB"/>
        </w:rPr>
      </w:pPr>
    </w:p>
    <w:p w:rsidR="00C00D02" w:rsidRPr="00C00D02" w:rsidRDefault="00C00D02" w:rsidP="00C00D02">
      <w:pPr>
        <w:shd w:val="clear" w:color="auto" w:fill="FFFFFF"/>
        <w:rPr>
          <w:rFonts w:ascii="Verdana" w:hAnsi="Verdana" w:cs="Arial"/>
          <w:color w:val="222222"/>
          <w:sz w:val="22"/>
          <w:szCs w:val="22"/>
          <w:lang w:val="nl-BE" w:eastAsia="en-GB"/>
        </w:rPr>
      </w:pPr>
      <w:r w:rsidRPr="00C00D02">
        <w:rPr>
          <w:rFonts w:ascii="Verdana" w:hAnsi="Verdana" w:cs="Arial"/>
          <w:color w:val="222222"/>
          <w:sz w:val="22"/>
          <w:szCs w:val="22"/>
          <w:lang w:val="nl-BE" w:eastAsia="en-GB"/>
        </w:rPr>
        <w:t xml:space="preserve">De UMA zal </w:t>
      </w:r>
      <w:r w:rsidR="00F20BA8">
        <w:rPr>
          <w:rFonts w:ascii="Verdana" w:hAnsi="Verdana" w:cs="Arial"/>
          <w:color w:val="222222"/>
          <w:sz w:val="22"/>
          <w:szCs w:val="22"/>
          <w:lang w:val="nl-BE" w:eastAsia="en-GB"/>
        </w:rPr>
        <w:t xml:space="preserve">in de komende maanden </w:t>
      </w:r>
      <w:r w:rsidR="002C69A6">
        <w:rPr>
          <w:rFonts w:ascii="Verdana" w:hAnsi="Verdana" w:cs="Arial"/>
          <w:color w:val="222222"/>
          <w:sz w:val="22"/>
          <w:szCs w:val="22"/>
          <w:lang w:val="nl-BE" w:eastAsia="en-GB"/>
        </w:rPr>
        <w:t xml:space="preserve">de </w:t>
      </w:r>
      <w:r w:rsidRPr="00C00D02">
        <w:rPr>
          <w:rFonts w:ascii="Verdana" w:hAnsi="Verdana" w:cs="Arial"/>
          <w:color w:val="222222"/>
          <w:sz w:val="22"/>
          <w:szCs w:val="22"/>
          <w:lang w:val="nl-BE" w:eastAsia="en-GB"/>
        </w:rPr>
        <w:t>methode</w:t>
      </w:r>
      <w:r w:rsidR="002C69A6">
        <w:rPr>
          <w:rFonts w:ascii="Verdana" w:hAnsi="Verdana" w:cs="Arial"/>
          <w:color w:val="222222"/>
          <w:sz w:val="22"/>
          <w:szCs w:val="22"/>
          <w:lang w:val="nl-BE" w:eastAsia="en-GB"/>
        </w:rPr>
        <w:t xml:space="preserve">s voor de berekeningen nog verbeteren </w:t>
      </w:r>
      <w:r w:rsidRPr="00C00D02">
        <w:rPr>
          <w:rFonts w:ascii="Verdana" w:hAnsi="Verdana" w:cs="Arial"/>
          <w:color w:val="222222"/>
          <w:sz w:val="22"/>
          <w:szCs w:val="22"/>
          <w:lang w:val="nl-BE" w:eastAsia="en-GB"/>
        </w:rPr>
        <w:t>om in de toekomst de monitoring van de prijzen en de kost per duizend contacten aan te passen aan de nieuwe meetmethoden voor het b</w:t>
      </w:r>
      <w:r>
        <w:rPr>
          <w:rFonts w:ascii="Verdana" w:hAnsi="Verdana" w:cs="Arial"/>
          <w:color w:val="222222"/>
          <w:sz w:val="22"/>
          <w:szCs w:val="22"/>
          <w:lang w:val="nl-BE" w:eastAsia="en-GB"/>
        </w:rPr>
        <w:t xml:space="preserve">ereik van de media </w:t>
      </w:r>
      <w:r w:rsidRPr="00C00D02">
        <w:rPr>
          <w:rFonts w:ascii="Verdana" w:hAnsi="Verdana" w:cs="Arial"/>
          <w:color w:val="222222"/>
          <w:sz w:val="22"/>
          <w:szCs w:val="22"/>
          <w:lang w:val="nl-BE" w:eastAsia="en-GB"/>
        </w:rPr>
        <w:t>e</w:t>
      </w:r>
      <w:r>
        <w:rPr>
          <w:rFonts w:ascii="Verdana" w:hAnsi="Verdana" w:cs="Arial"/>
          <w:color w:val="222222"/>
          <w:sz w:val="22"/>
          <w:szCs w:val="22"/>
          <w:lang w:val="nl-BE" w:eastAsia="en-GB"/>
        </w:rPr>
        <w:t>n aan de nieuwe vormen van in- en verkopen van reclameruimtes, zoals de platformen voor “</w:t>
      </w:r>
      <w:proofErr w:type="spellStart"/>
      <w:r>
        <w:rPr>
          <w:rFonts w:ascii="Verdana" w:hAnsi="Verdana" w:cs="Arial"/>
          <w:color w:val="222222"/>
          <w:sz w:val="22"/>
          <w:szCs w:val="22"/>
          <w:lang w:val="nl-BE" w:eastAsia="en-GB"/>
        </w:rPr>
        <w:t>programmatic</w:t>
      </w:r>
      <w:proofErr w:type="spellEnd"/>
      <w:r>
        <w:rPr>
          <w:rFonts w:ascii="Verdana" w:hAnsi="Verdana" w:cs="Arial"/>
          <w:color w:val="222222"/>
          <w:sz w:val="22"/>
          <w:szCs w:val="22"/>
          <w:lang w:val="nl-BE" w:eastAsia="en-GB"/>
        </w:rPr>
        <w:t>”</w:t>
      </w:r>
      <w:r w:rsidR="00F20BA8">
        <w:rPr>
          <w:rFonts w:ascii="Verdana" w:hAnsi="Verdana" w:cs="Arial"/>
          <w:color w:val="222222"/>
          <w:sz w:val="22"/>
          <w:szCs w:val="22"/>
          <w:lang w:val="nl-BE" w:eastAsia="en-GB"/>
        </w:rPr>
        <w:t xml:space="preserve">, </w:t>
      </w:r>
      <w:r>
        <w:rPr>
          <w:rFonts w:ascii="Verdana" w:hAnsi="Verdana" w:cs="Arial"/>
          <w:color w:val="222222"/>
          <w:sz w:val="22"/>
          <w:szCs w:val="22"/>
          <w:lang w:val="nl-BE" w:eastAsia="en-GB"/>
        </w:rPr>
        <w:t xml:space="preserve">bijvoorbeeld. </w:t>
      </w:r>
    </w:p>
    <w:p w:rsidR="00C00D02" w:rsidRPr="00C00D02" w:rsidRDefault="00C00D02" w:rsidP="00C132AC">
      <w:pPr>
        <w:shd w:val="clear" w:color="auto" w:fill="FFFFFF"/>
        <w:rPr>
          <w:rFonts w:ascii="Verdana" w:hAnsi="Verdana" w:cs="Arial"/>
          <w:sz w:val="22"/>
          <w:szCs w:val="22"/>
          <w:lang w:val="nl-BE" w:eastAsia="en-GB"/>
        </w:rPr>
      </w:pPr>
    </w:p>
    <w:p w:rsidR="00C132AC" w:rsidRPr="00E55800" w:rsidRDefault="00C132AC" w:rsidP="00C132AC">
      <w:pPr>
        <w:shd w:val="clear" w:color="auto" w:fill="FFFFFF"/>
        <w:rPr>
          <w:rFonts w:ascii="Verdana" w:hAnsi="Verdana" w:cs="Arial"/>
          <w:sz w:val="22"/>
          <w:szCs w:val="22"/>
          <w:lang w:val="nl-BE" w:eastAsia="en-GB"/>
        </w:rPr>
      </w:pPr>
      <w:r w:rsidRPr="00E55800">
        <w:rPr>
          <w:rFonts w:ascii="Verdana" w:hAnsi="Verdana" w:cs="Arial"/>
          <w:sz w:val="22"/>
          <w:szCs w:val="22"/>
          <w:lang w:val="nl-BE" w:eastAsia="en-GB"/>
        </w:rPr>
        <w:t xml:space="preserve">Voor meer informatie, raadpleeg de studie op </w:t>
      </w:r>
      <w:hyperlink r:id="rId11" w:history="1">
        <w:r w:rsidRPr="00E55800">
          <w:rPr>
            <w:rFonts w:ascii="Verdana" w:hAnsi="Verdana"/>
            <w:lang w:val="nl-BE"/>
          </w:rPr>
          <w:t>www.uma.be</w:t>
        </w:r>
      </w:hyperlink>
    </w:p>
    <w:p w:rsidR="00C132AC" w:rsidRPr="00E55800" w:rsidRDefault="00C132AC" w:rsidP="00C132AC">
      <w:pPr>
        <w:shd w:val="clear" w:color="auto" w:fill="FFFFFF"/>
        <w:rPr>
          <w:rFonts w:ascii="Verdana" w:hAnsi="Verdana" w:cs="Arial"/>
          <w:sz w:val="22"/>
          <w:szCs w:val="22"/>
          <w:lang w:val="nl-BE" w:eastAsia="en-GB"/>
        </w:rPr>
      </w:pPr>
      <w:r w:rsidRPr="00E55800">
        <w:rPr>
          <w:rFonts w:ascii="Verdana" w:hAnsi="Verdana" w:cs="Arial"/>
          <w:sz w:val="22"/>
          <w:szCs w:val="22"/>
          <w:lang w:val="nl-BE" w:eastAsia="en-GB"/>
        </w:rPr>
        <w:t>of neem contact op met :</w:t>
      </w:r>
    </w:p>
    <w:p w:rsidR="00485A34" w:rsidRPr="00E55800" w:rsidRDefault="00485A34" w:rsidP="00C132AC">
      <w:pPr>
        <w:shd w:val="clear" w:color="auto" w:fill="FFFFFF"/>
        <w:rPr>
          <w:rFonts w:ascii="Verdana" w:hAnsi="Verdana" w:cs="Arial"/>
          <w:sz w:val="22"/>
          <w:szCs w:val="22"/>
          <w:lang w:val="nl-BE" w:eastAsia="en-GB"/>
        </w:rPr>
      </w:pPr>
    </w:p>
    <w:p w:rsidR="008148FB" w:rsidRPr="00E55800" w:rsidRDefault="008148FB" w:rsidP="008A7E40">
      <w:pPr>
        <w:rPr>
          <w:rFonts w:ascii="Verdana" w:hAnsi="Verdana" w:cs="Arial"/>
          <w:i/>
          <w:sz w:val="20"/>
          <w:szCs w:val="20"/>
          <w:lang w:val="nl-BE"/>
        </w:rPr>
      </w:pPr>
    </w:p>
    <w:p w:rsidR="000C6DB4" w:rsidRPr="002C69A6" w:rsidRDefault="002C69A6" w:rsidP="000C6DB4">
      <w:pPr>
        <w:rPr>
          <w:rFonts w:ascii="Verdana" w:hAnsi="Verdana" w:cs="Arial"/>
          <w:i/>
          <w:sz w:val="20"/>
          <w:szCs w:val="20"/>
        </w:rPr>
      </w:pPr>
      <w:r w:rsidRPr="002C69A6">
        <w:rPr>
          <w:rFonts w:ascii="Verdana" w:hAnsi="Verdana" w:cs="Arial"/>
          <w:i/>
          <w:sz w:val="20"/>
          <w:szCs w:val="20"/>
        </w:rPr>
        <w:t xml:space="preserve">François </w:t>
      </w:r>
      <w:proofErr w:type="spellStart"/>
      <w:r w:rsidRPr="002C69A6">
        <w:rPr>
          <w:rFonts w:ascii="Verdana" w:hAnsi="Verdana" w:cs="Arial"/>
          <w:i/>
          <w:sz w:val="20"/>
          <w:szCs w:val="20"/>
        </w:rPr>
        <w:t>Chaudoir</w:t>
      </w:r>
      <w:proofErr w:type="spellEnd"/>
      <w:r w:rsidR="000C6DB4" w:rsidRPr="002C69A6">
        <w:rPr>
          <w:rFonts w:ascii="Verdana" w:hAnsi="Verdana" w:cs="Arial"/>
          <w:i/>
          <w:sz w:val="20"/>
          <w:szCs w:val="20"/>
        </w:rPr>
        <w:t xml:space="preserve"> – </w:t>
      </w:r>
      <w:proofErr w:type="spellStart"/>
      <w:r w:rsidR="00C00D02" w:rsidRPr="002C69A6">
        <w:rPr>
          <w:rFonts w:ascii="Verdana" w:hAnsi="Verdana" w:cs="Arial"/>
          <w:i/>
          <w:sz w:val="20"/>
          <w:szCs w:val="20"/>
        </w:rPr>
        <w:t>Voorzitter</w:t>
      </w:r>
      <w:proofErr w:type="spellEnd"/>
      <w:r w:rsidR="000C6DB4" w:rsidRPr="002C69A6">
        <w:rPr>
          <w:rFonts w:ascii="Verdana" w:hAnsi="Verdana" w:cs="Arial"/>
          <w:i/>
          <w:sz w:val="20"/>
          <w:szCs w:val="20"/>
        </w:rPr>
        <w:t xml:space="preserve"> </w:t>
      </w:r>
      <w:r w:rsidR="00C00D02" w:rsidRPr="002C69A6">
        <w:rPr>
          <w:rFonts w:ascii="Verdana" w:hAnsi="Verdana" w:cs="Arial"/>
          <w:i/>
          <w:sz w:val="20"/>
          <w:szCs w:val="20"/>
        </w:rPr>
        <w:t>UMA – (</w:t>
      </w:r>
      <w:proofErr w:type="spellStart"/>
      <w:r>
        <w:rPr>
          <w:rFonts w:ascii="Verdana" w:hAnsi="Verdana" w:cs="Arial"/>
          <w:i/>
          <w:sz w:val="20"/>
          <w:szCs w:val="20"/>
        </w:rPr>
        <w:t>Space</w:t>
      </w:r>
      <w:proofErr w:type="spellEnd"/>
      <w:r w:rsidR="00C00D02" w:rsidRPr="002C69A6">
        <w:rPr>
          <w:rFonts w:ascii="Verdana" w:hAnsi="Verdana" w:cs="Arial"/>
          <w:i/>
          <w:sz w:val="20"/>
          <w:szCs w:val="20"/>
        </w:rPr>
        <w:t>)</w:t>
      </w:r>
      <w:r w:rsidR="008148FB" w:rsidRPr="002C69A6">
        <w:rPr>
          <w:rFonts w:ascii="Verdana" w:hAnsi="Verdana" w:cs="Arial"/>
          <w:i/>
          <w:sz w:val="20"/>
          <w:szCs w:val="20"/>
        </w:rPr>
        <w:tab/>
      </w:r>
      <w:r w:rsidR="008148FB" w:rsidRPr="002C69A6">
        <w:rPr>
          <w:rFonts w:ascii="Verdana" w:hAnsi="Verdana" w:cs="Arial"/>
          <w:i/>
          <w:sz w:val="20"/>
          <w:szCs w:val="20"/>
        </w:rPr>
        <w:tab/>
      </w:r>
      <w:r w:rsidR="008148FB" w:rsidRPr="002C69A6">
        <w:rPr>
          <w:rFonts w:ascii="Verdana" w:hAnsi="Verdana" w:cs="Arial"/>
          <w:i/>
          <w:sz w:val="20"/>
          <w:szCs w:val="20"/>
        </w:rPr>
        <w:tab/>
      </w:r>
      <w:r w:rsidR="00C00D02" w:rsidRPr="002C69A6">
        <w:rPr>
          <w:rFonts w:ascii="Verdana" w:hAnsi="Verdana" w:cs="Arial"/>
          <w:i/>
          <w:sz w:val="20"/>
          <w:szCs w:val="20"/>
        </w:rPr>
        <w:tab/>
      </w:r>
      <w:r w:rsidR="008148FB" w:rsidRPr="002C69A6">
        <w:rPr>
          <w:rFonts w:ascii="Verdana" w:hAnsi="Verdana" w:cs="Arial"/>
          <w:i/>
          <w:sz w:val="20"/>
          <w:szCs w:val="20"/>
        </w:rPr>
        <w:t xml:space="preserve">+32 </w:t>
      </w:r>
      <w:r w:rsidR="00FE202A" w:rsidRPr="00FE202A">
        <w:rPr>
          <w:rFonts w:ascii="Verdana" w:hAnsi="Verdana" w:cs="Arial"/>
          <w:i/>
          <w:sz w:val="20"/>
          <w:szCs w:val="20"/>
        </w:rPr>
        <w:t>2 663 57 30</w:t>
      </w:r>
    </w:p>
    <w:p w:rsidR="008148FB" w:rsidRPr="00847311" w:rsidRDefault="008148FB" w:rsidP="000C6DB4">
      <w:pPr>
        <w:rPr>
          <w:rFonts w:ascii="Verdana" w:hAnsi="Verdana" w:cs="Arial"/>
          <w:i/>
          <w:sz w:val="20"/>
          <w:szCs w:val="20"/>
          <w:lang w:val="en-GB"/>
        </w:rPr>
      </w:pPr>
      <w:r w:rsidRPr="00847311">
        <w:rPr>
          <w:rFonts w:ascii="Verdana" w:hAnsi="Verdana" w:cs="Arial"/>
          <w:i/>
          <w:sz w:val="20"/>
          <w:szCs w:val="20"/>
          <w:lang w:val="en-GB"/>
        </w:rPr>
        <w:t xml:space="preserve">Bernard Cools – </w:t>
      </w:r>
      <w:r w:rsidR="00490225">
        <w:rPr>
          <w:rFonts w:ascii="Verdana" w:hAnsi="Verdana" w:cs="Arial"/>
          <w:i/>
          <w:sz w:val="20"/>
          <w:szCs w:val="20"/>
          <w:lang w:val="en-GB"/>
        </w:rPr>
        <w:t>Project Leader</w:t>
      </w:r>
      <w:r w:rsidRPr="00847311">
        <w:rPr>
          <w:rFonts w:ascii="Verdana" w:hAnsi="Verdana" w:cs="Arial"/>
          <w:i/>
          <w:sz w:val="20"/>
          <w:szCs w:val="20"/>
          <w:lang w:val="en-GB"/>
        </w:rPr>
        <w:t xml:space="preserve"> </w:t>
      </w:r>
      <w:r w:rsidR="00896FC8">
        <w:rPr>
          <w:rFonts w:ascii="Verdana" w:hAnsi="Verdana" w:cs="Arial"/>
          <w:i/>
          <w:sz w:val="20"/>
          <w:szCs w:val="20"/>
          <w:lang w:val="en-GB"/>
        </w:rPr>
        <w:t>Taskforce</w:t>
      </w:r>
      <w:r w:rsidRPr="00847311">
        <w:rPr>
          <w:rFonts w:ascii="Verdana" w:hAnsi="Verdana" w:cs="Arial"/>
          <w:i/>
          <w:sz w:val="20"/>
          <w:szCs w:val="20"/>
          <w:lang w:val="en-GB"/>
        </w:rPr>
        <w:t xml:space="preserve"> Research UMA</w:t>
      </w:r>
      <w:r w:rsidR="00C00D02" w:rsidRPr="00847311">
        <w:rPr>
          <w:rFonts w:ascii="Verdana" w:hAnsi="Verdana" w:cs="Arial"/>
          <w:i/>
          <w:sz w:val="20"/>
          <w:szCs w:val="20"/>
          <w:lang w:val="en-GB"/>
        </w:rPr>
        <w:t xml:space="preserve"> (Space)</w:t>
      </w:r>
      <w:r w:rsidR="00896FC8">
        <w:rPr>
          <w:rFonts w:ascii="Verdana" w:hAnsi="Verdana" w:cs="Arial"/>
          <w:i/>
          <w:sz w:val="20"/>
          <w:szCs w:val="20"/>
          <w:lang w:val="en-GB"/>
        </w:rPr>
        <w:tab/>
      </w:r>
      <w:r w:rsidRPr="00847311">
        <w:rPr>
          <w:rFonts w:ascii="Verdana" w:hAnsi="Verdana" w:cs="Arial"/>
          <w:i/>
          <w:sz w:val="20"/>
          <w:szCs w:val="20"/>
          <w:lang w:val="en-GB"/>
        </w:rPr>
        <w:t>+32 2 663 57 33</w:t>
      </w:r>
    </w:p>
    <w:p w:rsidR="000C6DB4" w:rsidRPr="00490225" w:rsidRDefault="000C6DB4" w:rsidP="000C6DB4">
      <w:pPr>
        <w:rPr>
          <w:rFonts w:ascii="Verdana" w:hAnsi="Verdana"/>
          <w:i/>
          <w:lang w:val="en-GB"/>
        </w:rPr>
      </w:pPr>
      <w:r w:rsidRPr="00E55800">
        <w:rPr>
          <w:rFonts w:ascii="Verdana" w:hAnsi="Verdana" w:cs="Arial"/>
          <w:i/>
          <w:sz w:val="20"/>
          <w:szCs w:val="20"/>
          <w:lang w:val="nl-BE"/>
        </w:rPr>
        <w:t>Max B</w:t>
      </w:r>
      <w:r w:rsidR="008148FB" w:rsidRPr="00E55800">
        <w:rPr>
          <w:rFonts w:ascii="Verdana" w:hAnsi="Verdana" w:cs="Arial"/>
          <w:i/>
          <w:sz w:val="20"/>
          <w:szCs w:val="20"/>
          <w:lang w:val="nl-BE"/>
        </w:rPr>
        <w:t xml:space="preserve">rouns – </w:t>
      </w:r>
      <w:r w:rsidR="002C69A6" w:rsidRPr="00490225">
        <w:rPr>
          <w:rFonts w:ascii="Verdana" w:hAnsi="Verdana" w:cs="Arial"/>
          <w:i/>
          <w:sz w:val="20"/>
          <w:szCs w:val="20"/>
          <w:lang w:val="en-GB"/>
        </w:rPr>
        <w:t>Co</w:t>
      </w:r>
      <w:r w:rsidR="00490225" w:rsidRPr="00490225">
        <w:rPr>
          <w:rFonts w:ascii="Verdana" w:hAnsi="Verdana" w:cs="Arial"/>
          <w:i/>
          <w:sz w:val="20"/>
          <w:szCs w:val="20"/>
          <w:lang w:val="en-GB"/>
        </w:rPr>
        <w:t>o</w:t>
      </w:r>
      <w:r w:rsidR="002C69A6" w:rsidRPr="00490225">
        <w:rPr>
          <w:rFonts w:ascii="Verdana" w:hAnsi="Verdana" w:cs="Arial"/>
          <w:i/>
          <w:sz w:val="20"/>
          <w:szCs w:val="20"/>
          <w:lang w:val="en-GB"/>
        </w:rPr>
        <w:t>rdinat</w:t>
      </w:r>
      <w:r w:rsidR="00490225" w:rsidRPr="00490225">
        <w:rPr>
          <w:rFonts w:ascii="Verdana" w:hAnsi="Verdana" w:cs="Arial"/>
          <w:i/>
          <w:sz w:val="20"/>
          <w:szCs w:val="20"/>
          <w:lang w:val="en-GB"/>
        </w:rPr>
        <w:t xml:space="preserve">ion manager </w:t>
      </w:r>
      <w:r w:rsidR="008148FB" w:rsidRPr="00490225">
        <w:rPr>
          <w:rFonts w:ascii="Verdana" w:hAnsi="Verdana" w:cs="Arial"/>
          <w:sz w:val="20"/>
          <w:szCs w:val="20"/>
          <w:lang w:val="en-GB"/>
        </w:rPr>
        <w:tab/>
      </w:r>
      <w:r w:rsidR="008148FB" w:rsidRPr="00490225">
        <w:rPr>
          <w:rFonts w:ascii="Verdana" w:hAnsi="Verdana" w:cs="Arial"/>
          <w:sz w:val="20"/>
          <w:szCs w:val="20"/>
          <w:lang w:val="en-GB"/>
        </w:rPr>
        <w:tab/>
      </w:r>
      <w:r w:rsidR="002C69A6" w:rsidRPr="00490225">
        <w:rPr>
          <w:rFonts w:ascii="Verdana" w:hAnsi="Verdana" w:cs="Arial"/>
          <w:sz w:val="20"/>
          <w:szCs w:val="20"/>
          <w:lang w:val="en-GB"/>
        </w:rPr>
        <w:tab/>
      </w:r>
      <w:r w:rsidR="002C69A6" w:rsidRPr="00490225">
        <w:rPr>
          <w:rFonts w:ascii="Verdana" w:hAnsi="Verdana" w:cs="Arial"/>
          <w:sz w:val="20"/>
          <w:szCs w:val="20"/>
          <w:lang w:val="en-GB"/>
        </w:rPr>
        <w:tab/>
      </w:r>
      <w:r w:rsidR="00C00D02" w:rsidRPr="00490225">
        <w:rPr>
          <w:rFonts w:ascii="Verdana" w:hAnsi="Verdana" w:cs="Arial"/>
          <w:sz w:val="20"/>
          <w:szCs w:val="20"/>
          <w:lang w:val="en-GB"/>
        </w:rPr>
        <w:tab/>
      </w:r>
      <w:r w:rsidR="008148FB" w:rsidRPr="00490225">
        <w:rPr>
          <w:rFonts w:ascii="Verdana" w:hAnsi="Verdana" w:cs="Arial"/>
          <w:sz w:val="20"/>
          <w:szCs w:val="20"/>
          <w:lang w:val="en-GB"/>
        </w:rPr>
        <w:t xml:space="preserve">+32 </w:t>
      </w:r>
      <w:r w:rsidR="00CE4B8F" w:rsidRPr="00490225">
        <w:rPr>
          <w:rFonts w:ascii="Verdana" w:hAnsi="Verdana" w:cs="Arial"/>
          <w:i/>
          <w:sz w:val="20"/>
          <w:szCs w:val="20"/>
          <w:lang w:val="en-GB"/>
        </w:rPr>
        <w:t>475 97 12 40</w:t>
      </w:r>
    </w:p>
    <w:p w:rsidR="00DF6033" w:rsidRPr="00490225" w:rsidRDefault="00DF6033" w:rsidP="000C6DB4">
      <w:pPr>
        <w:rPr>
          <w:rFonts w:ascii="Verdana" w:hAnsi="Verdana"/>
          <w:lang w:val="en-GB"/>
        </w:rPr>
      </w:pPr>
      <w:bookmarkStart w:id="0" w:name="_GoBack"/>
      <w:bookmarkEnd w:id="0"/>
    </w:p>
    <w:sectPr w:rsidR="00DF6033" w:rsidRPr="00490225" w:rsidSect="00421DBD">
      <w:headerReference w:type="default" r:id="rId12"/>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6950" w:rsidRDefault="005B6950" w:rsidP="007470F6">
      <w:r>
        <w:separator/>
      </w:r>
    </w:p>
  </w:endnote>
  <w:endnote w:type="continuationSeparator" w:id="0">
    <w:p w:rsidR="005B6950" w:rsidRDefault="005B6950" w:rsidP="00747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Rounded MT Bold">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628" w:rsidRPr="002D7628" w:rsidRDefault="002D7628" w:rsidP="002D7628">
    <w:pPr>
      <w:pStyle w:val="Pieddepage"/>
      <w:tabs>
        <w:tab w:val="clear" w:pos="4536"/>
        <w:tab w:val="clear" w:pos="9072"/>
        <w:tab w:val="left" w:pos="2180"/>
      </w:tabs>
      <w:rPr>
        <w:rFonts w:asciiTheme="minorHAnsi" w:hAnsiTheme="minorHAnsi" w:cstheme="minorHAnsi"/>
        <w:b/>
        <w:color w:val="2F5496" w:themeColor="accent1" w:themeShade="BF"/>
        <w:lang w:val="en-GB"/>
      </w:rPr>
    </w:pPr>
    <w:r w:rsidRPr="002D7628">
      <w:rPr>
        <w:rFonts w:asciiTheme="minorHAnsi" w:hAnsiTheme="minorHAnsi" w:cstheme="minorHAnsi"/>
        <w:b/>
        <w:color w:val="2F5496" w:themeColor="accent1" w:themeShade="BF"/>
        <w:lang w:val="en-GB"/>
      </w:rPr>
      <w:t>UMA (United Media Agencies)</w:t>
    </w:r>
  </w:p>
  <w:p w:rsidR="002D7628" w:rsidRPr="002D7628" w:rsidRDefault="002D7628" w:rsidP="002D7628">
    <w:pPr>
      <w:pStyle w:val="Pieddepage"/>
      <w:tabs>
        <w:tab w:val="clear" w:pos="4536"/>
        <w:tab w:val="clear" w:pos="9072"/>
        <w:tab w:val="left" w:pos="2180"/>
      </w:tabs>
      <w:rPr>
        <w:rFonts w:asciiTheme="minorHAnsi" w:hAnsiTheme="minorHAnsi" w:cstheme="minorHAnsi"/>
        <w:b/>
        <w:color w:val="2F5496" w:themeColor="accent1" w:themeShade="BF"/>
        <w:lang w:val="en-GB"/>
      </w:rPr>
    </w:pPr>
    <w:r w:rsidRPr="002D7628">
      <w:rPr>
        <w:rFonts w:asciiTheme="minorHAnsi" w:hAnsiTheme="minorHAnsi" w:cstheme="minorHAnsi"/>
        <w:b/>
        <w:color w:val="2F5496" w:themeColor="accent1" w:themeShade="BF"/>
        <w:lang w:val="en-GB"/>
      </w:rPr>
      <w:t xml:space="preserve">Avenue </w:t>
    </w:r>
    <w:proofErr w:type="spellStart"/>
    <w:r w:rsidRPr="002D7628">
      <w:rPr>
        <w:rFonts w:asciiTheme="minorHAnsi" w:hAnsiTheme="minorHAnsi" w:cstheme="minorHAnsi"/>
        <w:b/>
        <w:color w:val="2F5496" w:themeColor="accent1" w:themeShade="BF"/>
        <w:lang w:val="en-GB"/>
      </w:rPr>
      <w:t>Tedescolaan</w:t>
    </w:r>
    <w:proofErr w:type="spellEnd"/>
    <w:r w:rsidRPr="002D7628">
      <w:rPr>
        <w:rFonts w:asciiTheme="minorHAnsi" w:hAnsiTheme="minorHAnsi" w:cstheme="minorHAnsi"/>
        <w:b/>
        <w:color w:val="2F5496" w:themeColor="accent1" w:themeShade="BF"/>
        <w:lang w:val="en-GB"/>
      </w:rPr>
      <w:t xml:space="preserve"> 41, 1160 Brussels</w:t>
    </w:r>
  </w:p>
  <w:p w:rsidR="002D7628" w:rsidRPr="002D7628" w:rsidRDefault="002D7628">
    <w:pPr>
      <w:pStyle w:val="Pieddepage"/>
      <w:rPr>
        <w:rFonts w:asciiTheme="minorHAnsi" w:hAnsiTheme="minorHAnsi" w:cstheme="minorHAnsi"/>
        <w:b/>
        <w:color w:val="2F5496" w:themeColor="accent1" w:themeShade="BF"/>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6950" w:rsidRDefault="005B6950" w:rsidP="007470F6">
      <w:r>
        <w:separator/>
      </w:r>
    </w:p>
  </w:footnote>
  <w:footnote w:type="continuationSeparator" w:id="0">
    <w:p w:rsidR="005B6950" w:rsidRDefault="005B6950" w:rsidP="00747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0E8" w:rsidRDefault="00844DBF">
    <w:pPr>
      <w:pStyle w:val="En-tte"/>
    </w:pPr>
    <w:r>
      <w:rPr>
        <w:noProof/>
        <w:lang w:val="en-GB" w:eastAsia="en-GB"/>
      </w:rPr>
      <w:drawing>
        <wp:inline distT="0" distB="0" distL="0" distR="0">
          <wp:extent cx="1765300" cy="613763"/>
          <wp:effectExtent l="0" t="0" r="6350" b="0"/>
          <wp:docPr id="1" name="Image 1" descr="UMA_logo-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A_logo-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3062" cy="61646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E56A4"/>
    <w:multiLevelType w:val="hybridMultilevel"/>
    <w:tmpl w:val="4968675A"/>
    <w:lvl w:ilvl="0" w:tplc="1A72DA40">
      <w:numFmt w:val="bullet"/>
      <w:lvlText w:val="-"/>
      <w:lvlJc w:val="left"/>
      <w:pPr>
        <w:ind w:left="720" w:hanging="360"/>
      </w:pPr>
      <w:rPr>
        <w:rFonts w:ascii="Calibri" w:eastAsia="Arial Rounded MT Bold" w:hAnsi="Calibri"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0A36F6"/>
    <w:multiLevelType w:val="hybridMultilevel"/>
    <w:tmpl w:val="E4120CE0"/>
    <w:lvl w:ilvl="0" w:tplc="10224C86">
      <w:start w:val="31"/>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797C1B"/>
    <w:multiLevelType w:val="hybridMultilevel"/>
    <w:tmpl w:val="449C6C9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B07293A2">
      <w:start w:val="3"/>
      <w:numFmt w:val="bullet"/>
      <w:lvlText w:val=""/>
      <w:lvlJc w:val="left"/>
      <w:pPr>
        <w:ind w:left="360" w:hanging="360"/>
      </w:pPr>
      <w:rPr>
        <w:rFonts w:ascii="Wingdings" w:eastAsia="Times New Roman" w:hAnsi="Wingding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AA85E82"/>
    <w:multiLevelType w:val="hybridMultilevel"/>
    <w:tmpl w:val="7D1055BE"/>
    <w:lvl w:ilvl="0" w:tplc="0846A3CE">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D33982"/>
    <w:multiLevelType w:val="hybridMultilevel"/>
    <w:tmpl w:val="617A1012"/>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6DB0A6B"/>
    <w:multiLevelType w:val="hybridMultilevel"/>
    <w:tmpl w:val="BB901AE0"/>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E40"/>
    <w:rsid w:val="000052DF"/>
    <w:rsid w:val="000071E0"/>
    <w:rsid w:val="000173BD"/>
    <w:rsid w:val="00043B9E"/>
    <w:rsid w:val="00044DC9"/>
    <w:rsid w:val="000533B4"/>
    <w:rsid w:val="0007404E"/>
    <w:rsid w:val="00077702"/>
    <w:rsid w:val="00094408"/>
    <w:rsid w:val="000A48C8"/>
    <w:rsid w:val="000B1DAB"/>
    <w:rsid w:val="000C5EA9"/>
    <w:rsid w:val="000C6DB4"/>
    <w:rsid w:val="000D7356"/>
    <w:rsid w:val="000F5F74"/>
    <w:rsid w:val="00104AC6"/>
    <w:rsid w:val="00110329"/>
    <w:rsid w:val="001147AD"/>
    <w:rsid w:val="00116103"/>
    <w:rsid w:val="00117F3B"/>
    <w:rsid w:val="001313E2"/>
    <w:rsid w:val="00132B62"/>
    <w:rsid w:val="00172B53"/>
    <w:rsid w:val="00180D68"/>
    <w:rsid w:val="00187C48"/>
    <w:rsid w:val="00194F36"/>
    <w:rsid w:val="001B4E01"/>
    <w:rsid w:val="001B6932"/>
    <w:rsid w:val="001C3CC5"/>
    <w:rsid w:val="001C5D2D"/>
    <w:rsid w:val="001C61B8"/>
    <w:rsid w:val="002057F2"/>
    <w:rsid w:val="00205D73"/>
    <w:rsid w:val="00206E7A"/>
    <w:rsid w:val="002117A0"/>
    <w:rsid w:val="002212BC"/>
    <w:rsid w:val="002265AE"/>
    <w:rsid w:val="00226FEA"/>
    <w:rsid w:val="0023726B"/>
    <w:rsid w:val="00244C2C"/>
    <w:rsid w:val="00272D38"/>
    <w:rsid w:val="00276C45"/>
    <w:rsid w:val="0029408E"/>
    <w:rsid w:val="00294A81"/>
    <w:rsid w:val="002A485D"/>
    <w:rsid w:val="002B00D3"/>
    <w:rsid w:val="002C69A6"/>
    <w:rsid w:val="002D2D82"/>
    <w:rsid w:val="002D665D"/>
    <w:rsid w:val="002D7628"/>
    <w:rsid w:val="002E242C"/>
    <w:rsid w:val="002F40E8"/>
    <w:rsid w:val="00306A97"/>
    <w:rsid w:val="00314A72"/>
    <w:rsid w:val="00326A90"/>
    <w:rsid w:val="003342E5"/>
    <w:rsid w:val="00346738"/>
    <w:rsid w:val="003607EA"/>
    <w:rsid w:val="00366AF3"/>
    <w:rsid w:val="00371DDD"/>
    <w:rsid w:val="00384B2B"/>
    <w:rsid w:val="00390610"/>
    <w:rsid w:val="003A64F7"/>
    <w:rsid w:val="003B1F52"/>
    <w:rsid w:val="003B6A77"/>
    <w:rsid w:val="003D1225"/>
    <w:rsid w:val="003F0E90"/>
    <w:rsid w:val="003F3077"/>
    <w:rsid w:val="00421DBD"/>
    <w:rsid w:val="004228ED"/>
    <w:rsid w:val="004450B6"/>
    <w:rsid w:val="00451B8B"/>
    <w:rsid w:val="00455DBB"/>
    <w:rsid w:val="004737F3"/>
    <w:rsid w:val="00476919"/>
    <w:rsid w:val="00482F44"/>
    <w:rsid w:val="00485A34"/>
    <w:rsid w:val="00490225"/>
    <w:rsid w:val="0049101E"/>
    <w:rsid w:val="004967A1"/>
    <w:rsid w:val="004A1731"/>
    <w:rsid w:val="004B0AE6"/>
    <w:rsid w:val="004C1D03"/>
    <w:rsid w:val="004C3707"/>
    <w:rsid w:val="004D2A04"/>
    <w:rsid w:val="004D4EFF"/>
    <w:rsid w:val="004D5151"/>
    <w:rsid w:val="004E3B32"/>
    <w:rsid w:val="004E54A5"/>
    <w:rsid w:val="004F0386"/>
    <w:rsid w:val="004F785F"/>
    <w:rsid w:val="00507D4B"/>
    <w:rsid w:val="00566BEB"/>
    <w:rsid w:val="00592CC5"/>
    <w:rsid w:val="00593550"/>
    <w:rsid w:val="005A2FF2"/>
    <w:rsid w:val="005B4F3E"/>
    <w:rsid w:val="005B6950"/>
    <w:rsid w:val="005D1795"/>
    <w:rsid w:val="005D6409"/>
    <w:rsid w:val="005D6548"/>
    <w:rsid w:val="005E33B5"/>
    <w:rsid w:val="00605888"/>
    <w:rsid w:val="00606C37"/>
    <w:rsid w:val="006340B7"/>
    <w:rsid w:val="006557F8"/>
    <w:rsid w:val="00656DED"/>
    <w:rsid w:val="00661139"/>
    <w:rsid w:val="0066359A"/>
    <w:rsid w:val="0067048E"/>
    <w:rsid w:val="006802F4"/>
    <w:rsid w:val="00684A55"/>
    <w:rsid w:val="00686F30"/>
    <w:rsid w:val="00695535"/>
    <w:rsid w:val="006956F6"/>
    <w:rsid w:val="006A1C20"/>
    <w:rsid w:val="006A3273"/>
    <w:rsid w:val="006A60C3"/>
    <w:rsid w:val="006C662E"/>
    <w:rsid w:val="006C6938"/>
    <w:rsid w:val="006C6AF6"/>
    <w:rsid w:val="006C7191"/>
    <w:rsid w:val="006D0BD6"/>
    <w:rsid w:val="006E385E"/>
    <w:rsid w:val="006E6BC2"/>
    <w:rsid w:val="0070068A"/>
    <w:rsid w:val="00710E91"/>
    <w:rsid w:val="0071779A"/>
    <w:rsid w:val="00717F48"/>
    <w:rsid w:val="00724EBE"/>
    <w:rsid w:val="007318A1"/>
    <w:rsid w:val="00741AAD"/>
    <w:rsid w:val="00741CDE"/>
    <w:rsid w:val="007470F6"/>
    <w:rsid w:val="007561A2"/>
    <w:rsid w:val="0075649D"/>
    <w:rsid w:val="00760B33"/>
    <w:rsid w:val="0079232F"/>
    <w:rsid w:val="00794E13"/>
    <w:rsid w:val="007A341D"/>
    <w:rsid w:val="007A42F6"/>
    <w:rsid w:val="007D2CA5"/>
    <w:rsid w:val="007E4722"/>
    <w:rsid w:val="00801A95"/>
    <w:rsid w:val="00807058"/>
    <w:rsid w:val="008148FB"/>
    <w:rsid w:val="008202C4"/>
    <w:rsid w:val="0083162B"/>
    <w:rsid w:val="00837FAB"/>
    <w:rsid w:val="00843F7A"/>
    <w:rsid w:val="00844989"/>
    <w:rsid w:val="00844DBF"/>
    <w:rsid w:val="008470DB"/>
    <w:rsid w:val="00847311"/>
    <w:rsid w:val="00847B48"/>
    <w:rsid w:val="0085546B"/>
    <w:rsid w:val="00892DA3"/>
    <w:rsid w:val="00896FC8"/>
    <w:rsid w:val="008A237C"/>
    <w:rsid w:val="008A3C4A"/>
    <w:rsid w:val="008A4061"/>
    <w:rsid w:val="008A526F"/>
    <w:rsid w:val="008A7E40"/>
    <w:rsid w:val="008B506F"/>
    <w:rsid w:val="008C04E2"/>
    <w:rsid w:val="008C6238"/>
    <w:rsid w:val="008E2860"/>
    <w:rsid w:val="008E2FDD"/>
    <w:rsid w:val="008E39E0"/>
    <w:rsid w:val="008E61A5"/>
    <w:rsid w:val="008F5780"/>
    <w:rsid w:val="0091050C"/>
    <w:rsid w:val="00913FBD"/>
    <w:rsid w:val="009444E2"/>
    <w:rsid w:val="00950033"/>
    <w:rsid w:val="00973F47"/>
    <w:rsid w:val="00974964"/>
    <w:rsid w:val="009805DE"/>
    <w:rsid w:val="00987A0D"/>
    <w:rsid w:val="009A6E40"/>
    <w:rsid w:val="009C7A30"/>
    <w:rsid w:val="009C7EE5"/>
    <w:rsid w:val="009D7F5A"/>
    <w:rsid w:val="009F7992"/>
    <w:rsid w:val="00A10086"/>
    <w:rsid w:val="00A1222B"/>
    <w:rsid w:val="00A2322B"/>
    <w:rsid w:val="00A354B8"/>
    <w:rsid w:val="00A434E0"/>
    <w:rsid w:val="00A47720"/>
    <w:rsid w:val="00A55266"/>
    <w:rsid w:val="00A7180D"/>
    <w:rsid w:val="00A71823"/>
    <w:rsid w:val="00A8442F"/>
    <w:rsid w:val="00A86A6E"/>
    <w:rsid w:val="00A906AF"/>
    <w:rsid w:val="00AA2F2E"/>
    <w:rsid w:val="00AA634E"/>
    <w:rsid w:val="00AB54E1"/>
    <w:rsid w:val="00AB58AB"/>
    <w:rsid w:val="00AB6B11"/>
    <w:rsid w:val="00AE293D"/>
    <w:rsid w:val="00AE45A0"/>
    <w:rsid w:val="00AE4758"/>
    <w:rsid w:val="00AE7BA6"/>
    <w:rsid w:val="00AF11EC"/>
    <w:rsid w:val="00B04E9D"/>
    <w:rsid w:val="00B10431"/>
    <w:rsid w:val="00B43B76"/>
    <w:rsid w:val="00B4577B"/>
    <w:rsid w:val="00B4653B"/>
    <w:rsid w:val="00B507AD"/>
    <w:rsid w:val="00B51B48"/>
    <w:rsid w:val="00B6033E"/>
    <w:rsid w:val="00B624BC"/>
    <w:rsid w:val="00B83701"/>
    <w:rsid w:val="00B94F24"/>
    <w:rsid w:val="00B95561"/>
    <w:rsid w:val="00BC63B8"/>
    <w:rsid w:val="00BD08C7"/>
    <w:rsid w:val="00BD623A"/>
    <w:rsid w:val="00BE44BC"/>
    <w:rsid w:val="00C00D02"/>
    <w:rsid w:val="00C132AC"/>
    <w:rsid w:val="00C30CDD"/>
    <w:rsid w:val="00C32117"/>
    <w:rsid w:val="00C3687F"/>
    <w:rsid w:val="00C40144"/>
    <w:rsid w:val="00C433A3"/>
    <w:rsid w:val="00C70767"/>
    <w:rsid w:val="00CA5026"/>
    <w:rsid w:val="00CB09E4"/>
    <w:rsid w:val="00CB3AC6"/>
    <w:rsid w:val="00CC1A0F"/>
    <w:rsid w:val="00CC640B"/>
    <w:rsid w:val="00CD402A"/>
    <w:rsid w:val="00CD5567"/>
    <w:rsid w:val="00CE4B8F"/>
    <w:rsid w:val="00D15D3B"/>
    <w:rsid w:val="00D32E52"/>
    <w:rsid w:val="00D37CD8"/>
    <w:rsid w:val="00D41AFF"/>
    <w:rsid w:val="00D50838"/>
    <w:rsid w:val="00D621F9"/>
    <w:rsid w:val="00D64A34"/>
    <w:rsid w:val="00D64A72"/>
    <w:rsid w:val="00D7021C"/>
    <w:rsid w:val="00D806FB"/>
    <w:rsid w:val="00D90AF7"/>
    <w:rsid w:val="00DB18DD"/>
    <w:rsid w:val="00DC72CC"/>
    <w:rsid w:val="00DC7D79"/>
    <w:rsid w:val="00DD68F2"/>
    <w:rsid w:val="00DE19EF"/>
    <w:rsid w:val="00DF059B"/>
    <w:rsid w:val="00DF257B"/>
    <w:rsid w:val="00DF6033"/>
    <w:rsid w:val="00E03C09"/>
    <w:rsid w:val="00E13F21"/>
    <w:rsid w:val="00E1690C"/>
    <w:rsid w:val="00E1752C"/>
    <w:rsid w:val="00E23A7C"/>
    <w:rsid w:val="00E31964"/>
    <w:rsid w:val="00E42ACB"/>
    <w:rsid w:val="00E4643D"/>
    <w:rsid w:val="00E55800"/>
    <w:rsid w:val="00E60AC2"/>
    <w:rsid w:val="00E65A29"/>
    <w:rsid w:val="00E663F2"/>
    <w:rsid w:val="00E74E43"/>
    <w:rsid w:val="00E92244"/>
    <w:rsid w:val="00EB217A"/>
    <w:rsid w:val="00ED3685"/>
    <w:rsid w:val="00ED3AD1"/>
    <w:rsid w:val="00EF5944"/>
    <w:rsid w:val="00EF63AC"/>
    <w:rsid w:val="00F069A0"/>
    <w:rsid w:val="00F1553A"/>
    <w:rsid w:val="00F20BA8"/>
    <w:rsid w:val="00F21CAD"/>
    <w:rsid w:val="00F22930"/>
    <w:rsid w:val="00F23F30"/>
    <w:rsid w:val="00F26A77"/>
    <w:rsid w:val="00F34FF2"/>
    <w:rsid w:val="00F37182"/>
    <w:rsid w:val="00F4022D"/>
    <w:rsid w:val="00F409F8"/>
    <w:rsid w:val="00F5615C"/>
    <w:rsid w:val="00F56B5D"/>
    <w:rsid w:val="00F573C2"/>
    <w:rsid w:val="00F916B8"/>
    <w:rsid w:val="00FA54AF"/>
    <w:rsid w:val="00FB3271"/>
    <w:rsid w:val="00FC67CF"/>
    <w:rsid w:val="00FE202A"/>
    <w:rsid w:val="00FE7055"/>
    <w:rsid w:val="00FF1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93807A"/>
  <w15:chartTrackingRefBased/>
  <w15:docId w15:val="{68D411DE-E023-4791-88DC-6107C65F5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fr-BE"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741CDE"/>
    <w:pPr>
      <w:spacing w:after="200" w:line="276" w:lineRule="auto"/>
      <w:ind w:left="720"/>
      <w:contextualSpacing/>
    </w:pPr>
    <w:rPr>
      <w:rFonts w:ascii="Calibri" w:hAnsi="Calibri"/>
      <w:sz w:val="22"/>
      <w:szCs w:val="22"/>
      <w:lang w:val="en-US" w:eastAsia="en-US"/>
    </w:rPr>
  </w:style>
  <w:style w:type="paragraph" w:styleId="NormalWeb">
    <w:name w:val="Normal (Web)"/>
    <w:basedOn w:val="Normal"/>
    <w:rsid w:val="00DD68F2"/>
    <w:pPr>
      <w:spacing w:before="100" w:beforeAutospacing="1" w:after="100" w:afterAutospacing="1"/>
    </w:pPr>
    <w:rPr>
      <w:lang w:val="fr-FR"/>
    </w:rPr>
  </w:style>
  <w:style w:type="paragraph" w:styleId="Explorateurdedocuments">
    <w:name w:val="Document Map"/>
    <w:basedOn w:val="Normal"/>
    <w:semiHidden/>
    <w:rsid w:val="0067048E"/>
    <w:pPr>
      <w:shd w:val="clear" w:color="auto" w:fill="000080"/>
    </w:pPr>
    <w:rPr>
      <w:rFonts w:ascii="Tahoma" w:hAnsi="Tahoma" w:cs="Tahoma"/>
      <w:sz w:val="20"/>
      <w:szCs w:val="20"/>
    </w:rPr>
  </w:style>
  <w:style w:type="table" w:styleId="Grilledutableau">
    <w:name w:val="Table Grid"/>
    <w:basedOn w:val="TableauNormal"/>
    <w:rsid w:val="001B4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444E2"/>
  </w:style>
  <w:style w:type="character" w:styleId="lev">
    <w:name w:val="Strong"/>
    <w:uiPriority w:val="22"/>
    <w:qFormat/>
    <w:rsid w:val="009444E2"/>
    <w:rPr>
      <w:b/>
      <w:bCs/>
    </w:rPr>
  </w:style>
  <w:style w:type="paragraph" w:styleId="Textedebulles">
    <w:name w:val="Balloon Text"/>
    <w:basedOn w:val="Normal"/>
    <w:link w:val="TextedebullesCar"/>
    <w:rsid w:val="004D5151"/>
    <w:rPr>
      <w:rFonts w:ascii="Segoe UI" w:hAnsi="Segoe UI" w:cs="Segoe UI"/>
      <w:sz w:val="18"/>
      <w:szCs w:val="18"/>
    </w:rPr>
  </w:style>
  <w:style w:type="character" w:customStyle="1" w:styleId="TextedebullesCar">
    <w:name w:val="Texte de bulles Car"/>
    <w:link w:val="Textedebulles"/>
    <w:rsid w:val="004D5151"/>
    <w:rPr>
      <w:rFonts w:ascii="Segoe UI" w:hAnsi="Segoe UI" w:cs="Segoe UI"/>
      <w:sz w:val="18"/>
      <w:szCs w:val="18"/>
      <w:lang w:eastAsia="fr-FR"/>
    </w:rPr>
  </w:style>
  <w:style w:type="paragraph" w:styleId="En-tte">
    <w:name w:val="header"/>
    <w:basedOn w:val="Normal"/>
    <w:link w:val="En-tteCar"/>
    <w:rsid w:val="007470F6"/>
    <w:pPr>
      <w:tabs>
        <w:tab w:val="center" w:pos="4536"/>
        <w:tab w:val="right" w:pos="9072"/>
      </w:tabs>
    </w:pPr>
  </w:style>
  <w:style w:type="character" w:customStyle="1" w:styleId="En-tteCar">
    <w:name w:val="En-tête Car"/>
    <w:link w:val="En-tte"/>
    <w:rsid w:val="007470F6"/>
    <w:rPr>
      <w:sz w:val="24"/>
      <w:szCs w:val="24"/>
      <w:lang w:eastAsia="fr-FR"/>
    </w:rPr>
  </w:style>
  <w:style w:type="paragraph" w:styleId="Pieddepage">
    <w:name w:val="footer"/>
    <w:basedOn w:val="Normal"/>
    <w:link w:val="PieddepageCar"/>
    <w:rsid w:val="007470F6"/>
    <w:pPr>
      <w:tabs>
        <w:tab w:val="center" w:pos="4536"/>
        <w:tab w:val="right" w:pos="9072"/>
      </w:tabs>
    </w:pPr>
  </w:style>
  <w:style w:type="character" w:customStyle="1" w:styleId="PieddepageCar">
    <w:name w:val="Pied de page Car"/>
    <w:link w:val="Pieddepage"/>
    <w:rsid w:val="007470F6"/>
    <w:rPr>
      <w:sz w:val="24"/>
      <w:szCs w:val="24"/>
      <w:lang w:eastAsia="fr-FR"/>
    </w:rPr>
  </w:style>
  <w:style w:type="character" w:styleId="Lienhypertexte">
    <w:name w:val="Hyperlink"/>
    <w:rsid w:val="00E74E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707102">
      <w:bodyDiv w:val="1"/>
      <w:marLeft w:val="0"/>
      <w:marRight w:val="0"/>
      <w:marTop w:val="0"/>
      <w:marBottom w:val="0"/>
      <w:divBdr>
        <w:top w:val="none" w:sz="0" w:space="0" w:color="auto"/>
        <w:left w:val="none" w:sz="0" w:space="0" w:color="auto"/>
        <w:bottom w:val="none" w:sz="0" w:space="0" w:color="auto"/>
        <w:right w:val="none" w:sz="0" w:space="0" w:color="auto"/>
      </w:divBdr>
    </w:div>
    <w:div w:id="948976827">
      <w:bodyDiv w:val="1"/>
      <w:marLeft w:val="0"/>
      <w:marRight w:val="0"/>
      <w:marTop w:val="0"/>
      <w:marBottom w:val="0"/>
      <w:divBdr>
        <w:top w:val="none" w:sz="0" w:space="0" w:color="auto"/>
        <w:left w:val="none" w:sz="0" w:space="0" w:color="auto"/>
        <w:bottom w:val="none" w:sz="0" w:space="0" w:color="auto"/>
        <w:right w:val="none" w:sz="0" w:space="0" w:color="auto"/>
      </w:divBdr>
    </w:div>
    <w:div w:id="955909615">
      <w:bodyDiv w:val="1"/>
      <w:marLeft w:val="0"/>
      <w:marRight w:val="0"/>
      <w:marTop w:val="0"/>
      <w:marBottom w:val="0"/>
      <w:divBdr>
        <w:top w:val="none" w:sz="0" w:space="0" w:color="auto"/>
        <w:left w:val="none" w:sz="0" w:space="0" w:color="auto"/>
        <w:bottom w:val="none" w:sz="0" w:space="0" w:color="auto"/>
        <w:right w:val="none" w:sz="0" w:space="0" w:color="auto"/>
      </w:divBdr>
    </w:div>
    <w:div w:id="1104493504">
      <w:bodyDiv w:val="1"/>
      <w:marLeft w:val="0"/>
      <w:marRight w:val="0"/>
      <w:marTop w:val="0"/>
      <w:marBottom w:val="0"/>
      <w:divBdr>
        <w:top w:val="none" w:sz="0" w:space="0" w:color="auto"/>
        <w:left w:val="none" w:sz="0" w:space="0" w:color="auto"/>
        <w:bottom w:val="none" w:sz="0" w:space="0" w:color="auto"/>
        <w:right w:val="none" w:sz="0" w:space="0" w:color="auto"/>
      </w:divBdr>
    </w:div>
    <w:div w:id="1318920611">
      <w:bodyDiv w:val="1"/>
      <w:marLeft w:val="0"/>
      <w:marRight w:val="0"/>
      <w:marTop w:val="0"/>
      <w:marBottom w:val="0"/>
      <w:divBdr>
        <w:top w:val="none" w:sz="0" w:space="0" w:color="auto"/>
        <w:left w:val="none" w:sz="0" w:space="0" w:color="auto"/>
        <w:bottom w:val="none" w:sz="0" w:space="0" w:color="auto"/>
        <w:right w:val="none" w:sz="0" w:space="0" w:color="auto"/>
      </w:divBdr>
    </w:div>
    <w:div w:id="1412501703">
      <w:bodyDiv w:val="1"/>
      <w:marLeft w:val="0"/>
      <w:marRight w:val="0"/>
      <w:marTop w:val="0"/>
      <w:marBottom w:val="0"/>
      <w:divBdr>
        <w:top w:val="none" w:sz="0" w:space="0" w:color="auto"/>
        <w:left w:val="none" w:sz="0" w:space="0" w:color="auto"/>
        <w:bottom w:val="none" w:sz="0" w:space="0" w:color="auto"/>
        <w:right w:val="none" w:sz="0" w:space="0" w:color="auto"/>
      </w:divBdr>
    </w:div>
    <w:div w:id="1556886918">
      <w:bodyDiv w:val="1"/>
      <w:marLeft w:val="0"/>
      <w:marRight w:val="0"/>
      <w:marTop w:val="0"/>
      <w:marBottom w:val="0"/>
      <w:divBdr>
        <w:top w:val="none" w:sz="0" w:space="0" w:color="auto"/>
        <w:left w:val="none" w:sz="0" w:space="0" w:color="auto"/>
        <w:bottom w:val="none" w:sz="0" w:space="0" w:color="auto"/>
        <w:right w:val="none" w:sz="0" w:space="0" w:color="auto"/>
      </w:divBdr>
    </w:div>
    <w:div w:id="1645964517">
      <w:bodyDiv w:val="1"/>
      <w:marLeft w:val="0"/>
      <w:marRight w:val="0"/>
      <w:marTop w:val="0"/>
      <w:marBottom w:val="0"/>
      <w:divBdr>
        <w:top w:val="none" w:sz="0" w:space="0" w:color="auto"/>
        <w:left w:val="none" w:sz="0" w:space="0" w:color="auto"/>
        <w:bottom w:val="none" w:sz="0" w:space="0" w:color="auto"/>
        <w:right w:val="none" w:sz="0" w:space="0" w:color="auto"/>
      </w:divBdr>
    </w:div>
    <w:div w:id="1752387595">
      <w:bodyDiv w:val="1"/>
      <w:marLeft w:val="0"/>
      <w:marRight w:val="0"/>
      <w:marTop w:val="0"/>
      <w:marBottom w:val="0"/>
      <w:divBdr>
        <w:top w:val="none" w:sz="0" w:space="0" w:color="auto"/>
        <w:left w:val="none" w:sz="0" w:space="0" w:color="auto"/>
        <w:bottom w:val="none" w:sz="0" w:space="0" w:color="auto"/>
        <w:right w:val="none" w:sz="0" w:space="0" w:color="auto"/>
      </w:divBdr>
    </w:div>
    <w:div w:id="1842306841">
      <w:bodyDiv w:val="1"/>
      <w:marLeft w:val="0"/>
      <w:marRight w:val="0"/>
      <w:marTop w:val="0"/>
      <w:marBottom w:val="0"/>
      <w:divBdr>
        <w:top w:val="none" w:sz="0" w:space="0" w:color="auto"/>
        <w:left w:val="none" w:sz="0" w:space="0" w:color="auto"/>
        <w:bottom w:val="none" w:sz="0" w:space="0" w:color="auto"/>
        <w:right w:val="none" w:sz="0" w:space="0" w:color="auto"/>
      </w:divBdr>
    </w:div>
    <w:div w:id="1997293594">
      <w:bodyDiv w:val="1"/>
      <w:marLeft w:val="0"/>
      <w:marRight w:val="0"/>
      <w:marTop w:val="0"/>
      <w:marBottom w:val="0"/>
      <w:divBdr>
        <w:top w:val="none" w:sz="0" w:space="0" w:color="auto"/>
        <w:left w:val="none" w:sz="0" w:space="0" w:color="auto"/>
        <w:bottom w:val="none" w:sz="0" w:space="0" w:color="auto"/>
        <w:right w:val="none" w:sz="0" w:space="0" w:color="auto"/>
      </w:divBdr>
    </w:div>
    <w:div w:id="2002349769">
      <w:bodyDiv w:val="1"/>
      <w:marLeft w:val="0"/>
      <w:marRight w:val="0"/>
      <w:marTop w:val="0"/>
      <w:marBottom w:val="0"/>
      <w:divBdr>
        <w:top w:val="none" w:sz="0" w:space="0" w:color="auto"/>
        <w:left w:val="none" w:sz="0" w:space="0" w:color="auto"/>
        <w:bottom w:val="none" w:sz="0" w:space="0" w:color="auto"/>
        <w:right w:val="none" w:sz="0" w:space="0" w:color="auto"/>
      </w:divBdr>
    </w:div>
    <w:div w:id="203168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ma.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1" i="0" u="none" strike="noStrike" kern="1200" cap="none" spc="0" normalizeH="0" baseline="0">
                <a:ln>
                  <a:noFill/>
                </a:ln>
                <a:solidFill>
                  <a:sysClr val="windowText" lastClr="000000">
                    <a:lumMod val="50000"/>
                    <a:lumOff val="50000"/>
                  </a:sysClr>
                </a:solidFill>
                <a:latin typeface="+mj-lt"/>
                <a:ea typeface="+mj-ea"/>
                <a:cs typeface="+mj-cs"/>
              </a:defRPr>
            </a:pPr>
            <a:r>
              <a:rPr lang="fr-BE" sz="1400" baseline="0">
                <a:solidFill>
                  <a:srgbClr val="1F497D"/>
                </a:solidFill>
                <a:latin typeface="Tahoma" panose="020B0604030504040204" pitchFamily="34" charset="0"/>
                <a:ea typeface="Tahoma" panose="020B0604030504040204" pitchFamily="34" charset="0"/>
                <a:cs typeface="Tahoma" panose="020B0604030504040204" pitchFamily="34" charset="0"/>
              </a:rPr>
              <a:t>Evolution du coût aux mille contacts</a:t>
            </a:r>
          </a:p>
          <a:p>
            <a:pPr marL="0" marR="0" indent="0" algn="ctr" defTabSz="914400" rtl="0" eaLnBrk="1" fontAlgn="auto" latinLnBrk="0" hangingPunct="1">
              <a:lnSpc>
                <a:spcPct val="100000"/>
              </a:lnSpc>
              <a:spcBef>
                <a:spcPts val="0"/>
              </a:spcBef>
              <a:spcAft>
                <a:spcPts val="0"/>
              </a:spcAft>
              <a:buClrTx/>
              <a:buSzTx/>
              <a:buFontTx/>
              <a:buNone/>
              <a:tabLst/>
              <a:defRPr sz="1400" b="1" i="0" u="none" strike="noStrike" kern="1200" cap="none" spc="0" normalizeH="0" baseline="0">
                <a:ln>
                  <a:noFill/>
                </a:ln>
                <a:solidFill>
                  <a:sysClr val="windowText" lastClr="000000">
                    <a:lumMod val="50000"/>
                    <a:lumOff val="50000"/>
                  </a:sysClr>
                </a:solidFill>
                <a:latin typeface="+mj-lt"/>
                <a:ea typeface="+mj-ea"/>
                <a:cs typeface="+mj-cs"/>
              </a:defRPr>
            </a:pPr>
            <a:r>
              <a:rPr lang="fr-BE" sz="1400" b="1" i="0" baseline="0">
                <a:solidFill>
                  <a:srgbClr val="1F497D"/>
                </a:solidFill>
                <a:effectLst/>
                <a:latin typeface="Tahoma" panose="020B0604030504040204" pitchFamily="34" charset="0"/>
                <a:ea typeface="Tahoma" panose="020B0604030504040204" pitchFamily="34" charset="0"/>
                <a:cs typeface="Tahoma" panose="020B0604030504040204" pitchFamily="34" charset="0"/>
              </a:rPr>
              <a:t>Evolutie kost per duizend contacten </a:t>
            </a:r>
            <a:endParaRPr lang="fr-BE" sz="1400" baseline="0">
              <a:solidFill>
                <a:srgbClr val="1F497D"/>
              </a:solidFill>
              <a:effectLst/>
              <a:latin typeface="Tahoma" panose="020B0604030504040204" pitchFamily="34" charset="0"/>
              <a:ea typeface="Tahoma" panose="020B0604030504040204" pitchFamily="34" charset="0"/>
              <a:cs typeface="Tahoma" panose="020B0604030504040204" pitchFamily="34" charset="0"/>
            </a:endParaRPr>
          </a:p>
          <a:p>
            <a:pPr marL="0" marR="0" indent="0" algn="ctr" defTabSz="914400" rtl="0" eaLnBrk="1" fontAlgn="auto" latinLnBrk="0" hangingPunct="1">
              <a:lnSpc>
                <a:spcPct val="100000"/>
              </a:lnSpc>
              <a:spcBef>
                <a:spcPts val="0"/>
              </a:spcBef>
              <a:spcAft>
                <a:spcPts val="0"/>
              </a:spcAft>
              <a:buClrTx/>
              <a:buSzTx/>
              <a:buFontTx/>
              <a:buNone/>
              <a:tabLst/>
              <a:defRPr sz="1400" b="1" i="0" u="none" strike="noStrike" kern="1200" cap="none" spc="0" normalizeH="0" baseline="0">
                <a:ln>
                  <a:noFill/>
                </a:ln>
                <a:solidFill>
                  <a:sysClr val="windowText" lastClr="000000">
                    <a:lumMod val="50000"/>
                    <a:lumOff val="50000"/>
                  </a:sysClr>
                </a:solidFill>
                <a:latin typeface="+mj-lt"/>
                <a:ea typeface="+mj-ea"/>
                <a:cs typeface="+mj-cs"/>
              </a:defRPr>
            </a:pPr>
            <a:r>
              <a:rPr lang="fr-BE" sz="1400" baseline="0">
                <a:solidFill>
                  <a:srgbClr val="1F497D"/>
                </a:solidFill>
                <a:latin typeface="Tahoma" panose="020B0604030504040204" pitchFamily="34" charset="0"/>
                <a:ea typeface="Tahoma" panose="020B0604030504040204" pitchFamily="34" charset="0"/>
                <a:cs typeface="Tahoma" panose="020B0604030504040204" pitchFamily="34" charset="0"/>
              </a:rPr>
              <a:t>(2012 = 100) </a:t>
            </a:r>
          </a:p>
        </c:rich>
      </c:tx>
      <c:overlay val="1"/>
      <c:spPr>
        <a:noFill/>
        <a:ln>
          <a:noFill/>
        </a:ln>
        <a:effectLst/>
      </c:spPr>
    </c:title>
    <c:autoTitleDeleted val="0"/>
    <c:plotArea>
      <c:layout>
        <c:manualLayout>
          <c:layoutTarget val="inner"/>
          <c:xMode val="edge"/>
          <c:yMode val="edge"/>
          <c:x val="6.7610062893081774E-2"/>
          <c:y val="0.20113832777554688"/>
          <c:w val="0.62957939219861681"/>
          <c:h val="0.72424230784899113"/>
        </c:manualLayout>
      </c:layout>
      <c:barChart>
        <c:barDir val="col"/>
        <c:grouping val="clustered"/>
        <c:varyColors val="0"/>
        <c:ser>
          <c:idx val="6"/>
          <c:order val="6"/>
          <c:tx>
            <c:strRef>
              <c:f>Sheet1!$A$8</c:f>
              <c:strCache>
                <c:ptCount val="1"/>
                <c:pt idx="0">
                  <c:v>Total-Totaal</c:v>
                </c:pt>
              </c:strCache>
            </c:strRef>
          </c:tx>
          <c:spPr>
            <a:solidFill>
              <a:schemeClr val="bg1">
                <a:lumMod val="65000"/>
              </a:schemeClr>
            </a:solidFill>
            <a:ln w="22225" cap="rnd">
              <a:noFill/>
              <a:round/>
            </a:ln>
            <a:effectLst/>
          </c:spPr>
          <c:invertIfNegative val="0"/>
          <c:cat>
            <c:strRef>
              <c:f>Sheet1!$B$1:$G$1</c:f>
              <c:strCache>
                <c:ptCount val="6"/>
                <c:pt idx="0">
                  <c:v>2012</c:v>
                </c:pt>
                <c:pt idx="1">
                  <c:v>2013</c:v>
                </c:pt>
                <c:pt idx="2">
                  <c:v>2014</c:v>
                </c:pt>
                <c:pt idx="3">
                  <c:v>2015</c:v>
                </c:pt>
                <c:pt idx="4">
                  <c:v>2016</c:v>
                </c:pt>
                <c:pt idx="5">
                  <c:v>2017</c:v>
                </c:pt>
              </c:strCache>
            </c:strRef>
          </c:cat>
          <c:val>
            <c:numRef>
              <c:f>Sheet1!$B$8:$G$8</c:f>
              <c:numCache>
                <c:formatCode>0.0</c:formatCode>
                <c:ptCount val="6"/>
                <c:pt idx="0">
                  <c:v>100.00000000000001</c:v>
                </c:pt>
                <c:pt idx="1">
                  <c:v>102.9353302020842</c:v>
                </c:pt>
                <c:pt idx="2">
                  <c:v>106.40316000176016</c:v>
                </c:pt>
                <c:pt idx="3">
                  <c:v>107.7834643277771</c:v>
                </c:pt>
                <c:pt idx="4">
                  <c:v>107.04890968951423</c:v>
                </c:pt>
                <c:pt idx="5">
                  <c:v>109.57418967035622</c:v>
                </c:pt>
              </c:numCache>
            </c:numRef>
          </c:val>
          <c:extLst>
            <c:ext xmlns:c16="http://schemas.microsoft.com/office/drawing/2014/chart" uri="{C3380CC4-5D6E-409C-BE32-E72D297353CC}">
              <c16:uniqueId val="{00000000-6766-4D55-A881-E9E6ABA3A5DF}"/>
            </c:ext>
          </c:extLst>
        </c:ser>
        <c:dLbls>
          <c:showLegendKey val="0"/>
          <c:showVal val="0"/>
          <c:showCatName val="0"/>
          <c:showSerName val="0"/>
          <c:showPercent val="0"/>
          <c:showBubbleSize val="0"/>
        </c:dLbls>
        <c:gapWidth val="150"/>
        <c:axId val="533274512"/>
        <c:axId val="533274904"/>
      </c:barChart>
      <c:lineChart>
        <c:grouping val="standard"/>
        <c:varyColors val="0"/>
        <c:ser>
          <c:idx val="0"/>
          <c:order val="0"/>
          <c:tx>
            <c:strRef>
              <c:f>Sheet1!$A$2</c:f>
              <c:strCache>
                <c:ptCount val="1"/>
                <c:pt idx="0">
                  <c:v>Out of home</c:v>
                </c:pt>
              </c:strCache>
            </c:strRef>
          </c:tx>
          <c:spPr>
            <a:ln w="22225" cap="rnd">
              <a:solidFill>
                <a:schemeClr val="accent1"/>
              </a:solidFill>
              <a:round/>
            </a:ln>
            <a:effectLst/>
          </c:spPr>
          <c:marker>
            <c:symbol val="none"/>
          </c:marker>
          <c:cat>
            <c:strRef>
              <c:f>Sheet1!$B$1:$G$1</c:f>
              <c:strCache>
                <c:ptCount val="6"/>
                <c:pt idx="0">
                  <c:v>2012</c:v>
                </c:pt>
                <c:pt idx="1">
                  <c:v>2013</c:v>
                </c:pt>
                <c:pt idx="2">
                  <c:v>2014</c:v>
                </c:pt>
                <c:pt idx="3">
                  <c:v>2015</c:v>
                </c:pt>
                <c:pt idx="4">
                  <c:v>2016</c:v>
                </c:pt>
                <c:pt idx="5">
                  <c:v>2017</c:v>
                </c:pt>
              </c:strCache>
            </c:strRef>
          </c:cat>
          <c:val>
            <c:numRef>
              <c:f>Sheet1!$B$2:$G$2</c:f>
              <c:numCache>
                <c:formatCode>0.0</c:formatCode>
                <c:ptCount val="6"/>
                <c:pt idx="0">
                  <c:v>100</c:v>
                </c:pt>
                <c:pt idx="1">
                  <c:v>101.43713857751773</c:v>
                </c:pt>
                <c:pt idx="2">
                  <c:v>109.5501743649486</c:v>
                </c:pt>
                <c:pt idx="3">
                  <c:v>118.77412795775319</c:v>
                </c:pt>
                <c:pt idx="4">
                  <c:v>133.79831309791081</c:v>
                </c:pt>
                <c:pt idx="5">
                  <c:v>148.30780959589188</c:v>
                </c:pt>
              </c:numCache>
            </c:numRef>
          </c:val>
          <c:smooth val="0"/>
          <c:extLst>
            <c:ext xmlns:c16="http://schemas.microsoft.com/office/drawing/2014/chart" uri="{C3380CC4-5D6E-409C-BE32-E72D297353CC}">
              <c16:uniqueId val="{00000001-6766-4D55-A881-E9E6ABA3A5DF}"/>
            </c:ext>
          </c:extLst>
        </c:ser>
        <c:ser>
          <c:idx val="1"/>
          <c:order val="1"/>
          <c:tx>
            <c:strRef>
              <c:f>Sheet1!$A$3</c:f>
              <c:strCache>
                <c:ptCount val="1"/>
                <c:pt idx="0">
                  <c:v>Cinéma-Bioscoop</c:v>
                </c:pt>
              </c:strCache>
            </c:strRef>
          </c:tx>
          <c:spPr>
            <a:ln w="22225" cap="rnd">
              <a:solidFill>
                <a:schemeClr val="accent2"/>
              </a:solidFill>
              <a:round/>
            </a:ln>
            <a:effectLst/>
          </c:spPr>
          <c:marker>
            <c:symbol val="none"/>
          </c:marker>
          <c:cat>
            <c:strRef>
              <c:f>Sheet1!$B$1:$G$1</c:f>
              <c:strCache>
                <c:ptCount val="6"/>
                <c:pt idx="0">
                  <c:v>2012</c:v>
                </c:pt>
                <c:pt idx="1">
                  <c:v>2013</c:v>
                </c:pt>
                <c:pt idx="2">
                  <c:v>2014</c:v>
                </c:pt>
                <c:pt idx="3">
                  <c:v>2015</c:v>
                </c:pt>
                <c:pt idx="4">
                  <c:v>2016</c:v>
                </c:pt>
                <c:pt idx="5">
                  <c:v>2017</c:v>
                </c:pt>
              </c:strCache>
            </c:strRef>
          </c:cat>
          <c:val>
            <c:numRef>
              <c:f>Sheet1!$B$3:$G$3</c:f>
              <c:numCache>
                <c:formatCode>0.0</c:formatCode>
                <c:ptCount val="6"/>
                <c:pt idx="0">
                  <c:v>100</c:v>
                </c:pt>
                <c:pt idx="1">
                  <c:v>117.13412968435692</c:v>
                </c:pt>
                <c:pt idx="2">
                  <c:v>105.36483031402284</c:v>
                </c:pt>
                <c:pt idx="3">
                  <c:v>124.62784118622572</c:v>
                </c:pt>
                <c:pt idx="4">
                  <c:v>124.62784118622572</c:v>
                </c:pt>
                <c:pt idx="5">
                  <c:v>130.79953952302006</c:v>
                </c:pt>
              </c:numCache>
            </c:numRef>
          </c:val>
          <c:smooth val="0"/>
          <c:extLst>
            <c:ext xmlns:c16="http://schemas.microsoft.com/office/drawing/2014/chart" uri="{C3380CC4-5D6E-409C-BE32-E72D297353CC}">
              <c16:uniqueId val="{00000002-6766-4D55-A881-E9E6ABA3A5DF}"/>
            </c:ext>
          </c:extLst>
        </c:ser>
        <c:ser>
          <c:idx val="2"/>
          <c:order val="2"/>
          <c:tx>
            <c:strRef>
              <c:f>Sheet1!$A$4</c:f>
              <c:strCache>
                <c:ptCount val="1"/>
                <c:pt idx="0">
                  <c:v>Magazines-Tijdschriften</c:v>
                </c:pt>
              </c:strCache>
            </c:strRef>
          </c:tx>
          <c:spPr>
            <a:ln w="22225" cap="rnd">
              <a:solidFill>
                <a:schemeClr val="accent3"/>
              </a:solidFill>
              <a:round/>
            </a:ln>
            <a:effectLst/>
          </c:spPr>
          <c:marker>
            <c:symbol val="none"/>
          </c:marker>
          <c:cat>
            <c:strRef>
              <c:f>Sheet1!$B$1:$G$1</c:f>
              <c:strCache>
                <c:ptCount val="6"/>
                <c:pt idx="0">
                  <c:v>2012</c:v>
                </c:pt>
                <c:pt idx="1">
                  <c:v>2013</c:v>
                </c:pt>
                <c:pt idx="2">
                  <c:v>2014</c:v>
                </c:pt>
                <c:pt idx="3">
                  <c:v>2015</c:v>
                </c:pt>
                <c:pt idx="4">
                  <c:v>2016</c:v>
                </c:pt>
                <c:pt idx="5">
                  <c:v>2017</c:v>
                </c:pt>
              </c:strCache>
            </c:strRef>
          </c:cat>
          <c:val>
            <c:numRef>
              <c:f>Sheet1!$B$4:$G$4</c:f>
              <c:numCache>
                <c:formatCode>0.0</c:formatCode>
                <c:ptCount val="6"/>
                <c:pt idx="0">
                  <c:v>100</c:v>
                </c:pt>
                <c:pt idx="1">
                  <c:v>105.39517332452333</c:v>
                </c:pt>
                <c:pt idx="2">
                  <c:v>116.98071248917734</c:v>
                </c:pt>
                <c:pt idx="3">
                  <c:v>115.99635495677249</c:v>
                </c:pt>
                <c:pt idx="4">
                  <c:v>117.96313650986949</c:v>
                </c:pt>
                <c:pt idx="5">
                  <c:v>140.88854533362866</c:v>
                </c:pt>
              </c:numCache>
            </c:numRef>
          </c:val>
          <c:smooth val="0"/>
          <c:extLst>
            <c:ext xmlns:c16="http://schemas.microsoft.com/office/drawing/2014/chart" uri="{C3380CC4-5D6E-409C-BE32-E72D297353CC}">
              <c16:uniqueId val="{00000003-6766-4D55-A881-E9E6ABA3A5DF}"/>
            </c:ext>
          </c:extLst>
        </c:ser>
        <c:ser>
          <c:idx val="3"/>
          <c:order val="3"/>
          <c:tx>
            <c:strRef>
              <c:f>Sheet1!$A$5</c:f>
              <c:strCache>
                <c:ptCount val="1"/>
                <c:pt idx="0">
                  <c:v>Quotidiens-Dagbladen</c:v>
                </c:pt>
              </c:strCache>
            </c:strRef>
          </c:tx>
          <c:spPr>
            <a:ln w="22225" cap="rnd">
              <a:solidFill>
                <a:schemeClr val="accent4"/>
              </a:solidFill>
              <a:round/>
            </a:ln>
            <a:effectLst/>
          </c:spPr>
          <c:marker>
            <c:symbol val="none"/>
          </c:marker>
          <c:cat>
            <c:strRef>
              <c:f>Sheet1!$B$1:$G$1</c:f>
              <c:strCache>
                <c:ptCount val="6"/>
                <c:pt idx="0">
                  <c:v>2012</c:v>
                </c:pt>
                <c:pt idx="1">
                  <c:v>2013</c:v>
                </c:pt>
                <c:pt idx="2">
                  <c:v>2014</c:v>
                </c:pt>
                <c:pt idx="3">
                  <c:v>2015</c:v>
                </c:pt>
                <c:pt idx="4">
                  <c:v>2016</c:v>
                </c:pt>
                <c:pt idx="5">
                  <c:v>2017</c:v>
                </c:pt>
              </c:strCache>
            </c:strRef>
          </c:cat>
          <c:val>
            <c:numRef>
              <c:f>Sheet1!$B$5:$G$5</c:f>
              <c:numCache>
                <c:formatCode>0.0</c:formatCode>
                <c:ptCount val="6"/>
                <c:pt idx="0">
                  <c:v>100</c:v>
                </c:pt>
                <c:pt idx="1">
                  <c:v>105.35559504753382</c:v>
                </c:pt>
                <c:pt idx="2">
                  <c:v>111.53842781612389</c:v>
                </c:pt>
                <c:pt idx="3">
                  <c:v>105.6331507867443</c:v>
                </c:pt>
                <c:pt idx="4">
                  <c:v>92.924740142796466</c:v>
                </c:pt>
                <c:pt idx="5">
                  <c:v>83.190416943044838</c:v>
                </c:pt>
              </c:numCache>
            </c:numRef>
          </c:val>
          <c:smooth val="0"/>
          <c:extLst>
            <c:ext xmlns:c16="http://schemas.microsoft.com/office/drawing/2014/chart" uri="{C3380CC4-5D6E-409C-BE32-E72D297353CC}">
              <c16:uniqueId val="{00000004-6766-4D55-A881-E9E6ABA3A5DF}"/>
            </c:ext>
          </c:extLst>
        </c:ser>
        <c:ser>
          <c:idx val="4"/>
          <c:order val="4"/>
          <c:tx>
            <c:strRef>
              <c:f>Sheet1!$A$6</c:f>
              <c:strCache>
                <c:ptCount val="1"/>
                <c:pt idx="0">
                  <c:v>Radio</c:v>
                </c:pt>
              </c:strCache>
            </c:strRef>
          </c:tx>
          <c:spPr>
            <a:ln w="22225" cap="rnd">
              <a:solidFill>
                <a:schemeClr val="accent5"/>
              </a:solidFill>
              <a:round/>
            </a:ln>
            <a:effectLst/>
          </c:spPr>
          <c:marker>
            <c:symbol val="none"/>
          </c:marker>
          <c:cat>
            <c:strRef>
              <c:f>Sheet1!$B$1:$G$1</c:f>
              <c:strCache>
                <c:ptCount val="6"/>
                <c:pt idx="0">
                  <c:v>2012</c:v>
                </c:pt>
                <c:pt idx="1">
                  <c:v>2013</c:v>
                </c:pt>
                <c:pt idx="2">
                  <c:v>2014</c:v>
                </c:pt>
                <c:pt idx="3">
                  <c:v>2015</c:v>
                </c:pt>
                <c:pt idx="4">
                  <c:v>2016</c:v>
                </c:pt>
                <c:pt idx="5">
                  <c:v>2017</c:v>
                </c:pt>
              </c:strCache>
            </c:strRef>
          </c:cat>
          <c:val>
            <c:numRef>
              <c:f>Sheet1!$B$6:$G$6</c:f>
              <c:numCache>
                <c:formatCode>0.0</c:formatCode>
                <c:ptCount val="6"/>
                <c:pt idx="0">
                  <c:v>100</c:v>
                </c:pt>
                <c:pt idx="1">
                  <c:v>102.59712537404344</c:v>
                </c:pt>
                <c:pt idx="2">
                  <c:v>102.22799597318904</c:v>
                </c:pt>
                <c:pt idx="3">
                  <c:v>103.40708423226405</c:v>
                </c:pt>
                <c:pt idx="4">
                  <c:v>106.38998420155856</c:v>
                </c:pt>
                <c:pt idx="5">
                  <c:v>116.06730575927293</c:v>
                </c:pt>
              </c:numCache>
            </c:numRef>
          </c:val>
          <c:smooth val="0"/>
          <c:extLst>
            <c:ext xmlns:c16="http://schemas.microsoft.com/office/drawing/2014/chart" uri="{C3380CC4-5D6E-409C-BE32-E72D297353CC}">
              <c16:uniqueId val="{00000005-6766-4D55-A881-E9E6ABA3A5DF}"/>
            </c:ext>
          </c:extLst>
        </c:ser>
        <c:ser>
          <c:idx val="5"/>
          <c:order val="5"/>
          <c:tx>
            <c:strRef>
              <c:f>Sheet1!$A$7</c:f>
              <c:strCache>
                <c:ptCount val="1"/>
                <c:pt idx="0">
                  <c:v>TV</c:v>
                </c:pt>
              </c:strCache>
            </c:strRef>
          </c:tx>
          <c:spPr>
            <a:ln w="22225" cap="rnd">
              <a:solidFill>
                <a:schemeClr val="accent6"/>
              </a:solidFill>
              <a:round/>
            </a:ln>
            <a:effectLst/>
          </c:spPr>
          <c:marker>
            <c:symbol val="none"/>
          </c:marker>
          <c:cat>
            <c:strRef>
              <c:f>Sheet1!$B$1:$G$1</c:f>
              <c:strCache>
                <c:ptCount val="6"/>
                <c:pt idx="0">
                  <c:v>2012</c:v>
                </c:pt>
                <c:pt idx="1">
                  <c:v>2013</c:v>
                </c:pt>
                <c:pt idx="2">
                  <c:v>2014</c:v>
                </c:pt>
                <c:pt idx="3">
                  <c:v>2015</c:v>
                </c:pt>
                <c:pt idx="4">
                  <c:v>2016</c:v>
                </c:pt>
                <c:pt idx="5">
                  <c:v>2017</c:v>
                </c:pt>
              </c:strCache>
            </c:strRef>
          </c:cat>
          <c:val>
            <c:numRef>
              <c:f>Sheet1!$B$7:$G$7</c:f>
              <c:numCache>
                <c:formatCode>0.0</c:formatCode>
                <c:ptCount val="6"/>
                <c:pt idx="0">
                  <c:v>100</c:v>
                </c:pt>
                <c:pt idx="1">
                  <c:v>101.23728366060986</c:v>
                </c:pt>
                <c:pt idx="2">
                  <c:v>102.44230503748604</c:v>
                </c:pt>
                <c:pt idx="3">
                  <c:v>106.03404182531176</c:v>
                </c:pt>
                <c:pt idx="4">
                  <c:v>106.73628028350927</c:v>
                </c:pt>
                <c:pt idx="5">
                  <c:v>106.67778908635933</c:v>
                </c:pt>
              </c:numCache>
            </c:numRef>
          </c:val>
          <c:smooth val="0"/>
          <c:extLst>
            <c:ext xmlns:c16="http://schemas.microsoft.com/office/drawing/2014/chart" uri="{C3380CC4-5D6E-409C-BE32-E72D297353CC}">
              <c16:uniqueId val="{00000006-6766-4D55-A881-E9E6ABA3A5DF}"/>
            </c:ext>
          </c:extLst>
        </c:ser>
        <c:dLbls>
          <c:showLegendKey val="0"/>
          <c:showVal val="0"/>
          <c:showCatName val="0"/>
          <c:showSerName val="0"/>
          <c:showPercent val="0"/>
          <c:showBubbleSize val="0"/>
        </c:dLbls>
        <c:marker val="1"/>
        <c:smooth val="0"/>
        <c:axId val="533274512"/>
        <c:axId val="533274904"/>
      </c:lineChart>
      <c:catAx>
        <c:axId val="533274512"/>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0"/>
        <c:majorTickMark val="out"/>
        <c:minorTickMark val="none"/>
        <c:tickLblPos val="low"/>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50" b="1" i="0" u="none" strike="noStrike" kern="1200" cap="none" spc="0" normalizeH="0" baseline="0">
                <a:ln>
                  <a:noFill/>
                </a:ln>
                <a:solidFill>
                  <a:schemeClr val="tx2"/>
                </a:solidFill>
                <a:latin typeface="Tahoma" panose="020B0604030504040204" pitchFamily="34" charset="0"/>
                <a:ea typeface="Tahoma" panose="020B0604030504040204" pitchFamily="34" charset="0"/>
                <a:cs typeface="Tahoma" panose="020B0604030504040204" pitchFamily="34" charset="0"/>
              </a:defRPr>
            </a:pPr>
            <a:endParaRPr lang="en-US"/>
          </a:p>
        </c:txPr>
        <c:crossAx val="533274904"/>
        <c:crossesAt val="100"/>
        <c:auto val="1"/>
        <c:lblAlgn val="ctr"/>
        <c:lblOffset val="100"/>
        <c:noMultiLvlLbl val="0"/>
      </c:catAx>
      <c:valAx>
        <c:axId val="533274904"/>
        <c:scaling>
          <c:orientation val="minMax"/>
          <c:max val="150"/>
          <c:min val="80"/>
        </c:scaling>
        <c:delete val="0"/>
        <c:axPos val="l"/>
        <c:majorGridlines>
          <c:spPr>
            <a:ln w="9525" cap="flat" cmpd="sng" algn="ctr">
              <a:solidFill>
                <a:schemeClr val="dk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ln>
                  <a:noFill/>
                </a:ln>
                <a:solidFill>
                  <a:schemeClr val="tx2"/>
                </a:solidFill>
                <a:latin typeface="+mn-lt"/>
                <a:ea typeface="+mn-ea"/>
                <a:cs typeface="+mn-cs"/>
              </a:defRPr>
            </a:pPr>
            <a:endParaRPr lang="en-US"/>
          </a:p>
        </c:txPr>
        <c:crossAx val="533274512"/>
        <c:crosses val="autoZero"/>
        <c:crossBetween val="between"/>
      </c:valAx>
      <c:spPr>
        <a:noFill/>
        <a:ln>
          <a:solidFill>
            <a:srgbClr val="000000"/>
          </a:solidFill>
        </a:ln>
        <a:effectLst/>
      </c:spPr>
    </c:plotArea>
    <c:legend>
      <c:legendPos val="r"/>
      <c:layout>
        <c:manualLayout>
          <c:xMode val="edge"/>
          <c:yMode val="edge"/>
          <c:x val="0.74167615840472767"/>
          <c:y val="0.20235552374135049"/>
          <c:w val="0.24574522524307102"/>
          <c:h val="0.74613049126434938"/>
        </c:manualLayout>
      </c:layout>
      <c:overlay val="0"/>
      <c:spPr>
        <a:noFill/>
        <a:ln>
          <a:noFill/>
        </a:ln>
        <a:effectLst/>
      </c:spPr>
      <c:txPr>
        <a:bodyPr rot="0" spcFirstLastPara="1" vertOverflow="ellipsis" vert="horz" wrap="square" anchor="ctr" anchorCtr="1"/>
        <a:lstStyle/>
        <a:p>
          <a:pPr>
            <a:defRPr sz="1050" b="0" i="0" u="none" strike="noStrike" kern="1200" baseline="0">
              <a:ln>
                <a:noFill/>
              </a:ln>
              <a:solidFill>
                <a:schemeClr val="dk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n-US"/>
        </a:p>
      </c:txPr>
    </c:legend>
    <c:plotVisOnly val="1"/>
    <c:dispBlanksAs val="gap"/>
    <c:showDLblsOverMax val="0"/>
  </c:chart>
  <c:spPr>
    <a:solidFill>
      <a:schemeClr val="lt1"/>
    </a:solidFill>
    <a:ln w="9525" cap="flat" cmpd="sng" algn="ctr">
      <a:noFill/>
      <a:round/>
    </a:ln>
    <a:effectLst/>
  </c:spPr>
  <c:txPr>
    <a:bodyPr/>
    <a:lstStyle/>
    <a:p>
      <a:pPr>
        <a:defRPr>
          <a:ln>
            <a:noFill/>
          </a:ln>
        </a:defRPr>
      </a:pPr>
      <a:endParaRPr lang="en-US"/>
    </a:p>
  </c:txPr>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3080A-55E7-4355-B0A3-88F56CA20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648</Words>
  <Characters>3699</Characters>
  <Application>Microsoft Office Word</Application>
  <DocSecurity>0</DocSecurity>
  <Lines>30</Lines>
  <Paragraphs>8</Paragraphs>
  <ScaleCrop>false</ScaleCrop>
  <HeadingPairs>
    <vt:vector size="6" baseType="variant">
      <vt:variant>
        <vt:lpstr>Titre</vt:lpstr>
      </vt:variant>
      <vt:variant>
        <vt:i4>1</vt:i4>
      </vt:variant>
      <vt:variant>
        <vt:lpstr>Titres</vt:lpstr>
      </vt:variant>
      <vt:variant>
        <vt:i4>2</vt:i4>
      </vt:variant>
      <vt:variant>
        <vt:lpstr>Title</vt:lpstr>
      </vt:variant>
      <vt:variant>
        <vt:i4>1</vt:i4>
      </vt:variant>
    </vt:vector>
  </HeadingPairs>
  <TitlesOfParts>
    <vt:vector size="4" baseType="lpstr">
      <vt:lpstr>Projet</vt:lpstr>
      <vt:lpstr>De editie 2018 van het UMA-rapport over de evolutie </vt:lpstr>
      <vt:lpstr>van de kosten van reclameruimte bevat geen cijfers over digitale media, in afwac</vt:lpstr>
      <vt:lpstr>Projet</vt:lpstr>
    </vt:vector>
  </TitlesOfParts>
  <Company>SPACE</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dc:title>
  <dc:subject/>
  <dc:creator>christiane</dc:creator>
  <cp:keywords/>
  <cp:lastModifiedBy>bart brouns</cp:lastModifiedBy>
  <cp:revision>14</cp:revision>
  <cp:lastPrinted>2017-02-22T09:20:00Z</cp:lastPrinted>
  <dcterms:created xsi:type="dcterms:W3CDTF">2018-05-02T08:45:00Z</dcterms:created>
  <dcterms:modified xsi:type="dcterms:W3CDTF">2018-05-07T18:35:00Z</dcterms:modified>
</cp:coreProperties>
</file>